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1CF87" w14:textId="5BEA86EC" w:rsidR="00B91EFE" w:rsidRDefault="00B91EFE" w:rsidP="00B91EFE">
      <w:pPr>
        <w:widowControl w:val="0"/>
        <w:pBdr>
          <w:top w:val="nil"/>
          <w:left w:val="nil"/>
          <w:bottom w:val="nil"/>
          <w:right w:val="nil"/>
          <w:between w:val="nil"/>
        </w:pBdr>
        <w:spacing w:line="240" w:lineRule="auto"/>
        <w:ind w:left="1440" w:right="4548"/>
        <w:jc w:val="right"/>
        <w:rPr>
          <w:rFonts w:ascii="Times New Roman" w:eastAsia="Times New Roman" w:hAnsi="Times New Roman" w:cs="Times New Roman"/>
          <w:b/>
          <w:bCs/>
          <w:color w:val="00000A"/>
          <w:sz w:val="23"/>
          <w:szCs w:val="23"/>
        </w:rPr>
      </w:pPr>
      <w:r>
        <w:rPr>
          <w:noProof/>
        </w:rPr>
        <w:drawing>
          <wp:anchor distT="0" distB="0" distL="114300" distR="114300" simplePos="0" relativeHeight="251660288" behindDoc="0" locked="0" layoutInCell="1" allowOverlap="1" wp14:anchorId="4E951A86" wp14:editId="142B61A4">
            <wp:simplePos x="0" y="0"/>
            <wp:positionH relativeFrom="margin">
              <wp:posOffset>5161280</wp:posOffset>
            </wp:positionH>
            <wp:positionV relativeFrom="paragraph">
              <wp:posOffset>0</wp:posOffset>
            </wp:positionV>
            <wp:extent cx="1073150" cy="1066800"/>
            <wp:effectExtent l="0" t="0" r="0" b="0"/>
            <wp:wrapThrough wrapText="bothSides">
              <wp:wrapPolygon edited="0">
                <wp:start x="0" y="0"/>
                <wp:lineTo x="0" y="21214"/>
                <wp:lineTo x="21089" y="21214"/>
                <wp:lineTo x="21089" y="0"/>
                <wp:lineTo x="0" y="0"/>
              </wp:wrapPolygon>
            </wp:wrapThrough>
            <wp:docPr id="5848049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19050" distB="19050" distL="19050" distR="19050" simplePos="0" relativeHeight="251659264" behindDoc="0" locked="0" layoutInCell="1" hidden="0" allowOverlap="1" wp14:anchorId="67B12C3D" wp14:editId="067F6B95">
            <wp:simplePos x="0" y="0"/>
            <wp:positionH relativeFrom="margin">
              <wp:align>left</wp:align>
            </wp:positionH>
            <wp:positionV relativeFrom="paragraph">
              <wp:posOffset>0</wp:posOffset>
            </wp:positionV>
            <wp:extent cx="1200150" cy="1066800"/>
            <wp:effectExtent l="0" t="0" r="0" b="0"/>
            <wp:wrapSquare wrapText="right" distT="19050" distB="19050" distL="19050" distR="1905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00150" cy="1066800"/>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color w:val="00000A"/>
          <w:sz w:val="23"/>
          <w:szCs w:val="23"/>
        </w:rPr>
        <w:t xml:space="preserve">I.V.G.T SRL </w:t>
      </w:r>
    </w:p>
    <w:p w14:paraId="3EE33214" w14:textId="017D3EBF" w:rsidR="00B91EFE" w:rsidRDefault="00B91EFE" w:rsidP="00B91EFE">
      <w:pPr>
        <w:widowControl w:val="0"/>
        <w:pBdr>
          <w:top w:val="nil"/>
          <w:left w:val="nil"/>
          <w:bottom w:val="nil"/>
          <w:right w:val="nil"/>
          <w:between w:val="nil"/>
        </w:pBdr>
        <w:spacing w:line="240" w:lineRule="auto"/>
        <w:ind w:left="1440" w:right="2705"/>
        <w:jc w:val="center"/>
        <w:rPr>
          <w:rFonts w:ascii="Times New Roman" w:eastAsia="Times New Roman" w:hAnsi="Times New Roman" w:cs="Times New Roman"/>
          <w:b/>
          <w:bCs/>
          <w:color w:val="00000A"/>
          <w:sz w:val="23"/>
          <w:szCs w:val="23"/>
        </w:rPr>
      </w:pPr>
      <w:r>
        <w:rPr>
          <w:rFonts w:ascii="Times New Roman" w:eastAsia="Times New Roman" w:hAnsi="Times New Roman" w:cs="Times New Roman"/>
          <w:b/>
          <w:bCs/>
          <w:color w:val="00000A"/>
          <w:sz w:val="23"/>
          <w:szCs w:val="23"/>
        </w:rPr>
        <w:t xml:space="preserve">ISTITUTO VENDITE GIUDIZIARE DEL TRENTINO </w:t>
      </w:r>
    </w:p>
    <w:p w14:paraId="2D050069" w14:textId="77777777" w:rsidR="00B91EFE" w:rsidRDefault="00B91EFE" w:rsidP="00B91EFE">
      <w:pPr>
        <w:widowControl w:val="0"/>
        <w:pBdr>
          <w:top w:val="nil"/>
          <w:left w:val="nil"/>
          <w:bottom w:val="nil"/>
          <w:right w:val="nil"/>
          <w:between w:val="nil"/>
        </w:pBdr>
        <w:spacing w:line="240" w:lineRule="auto"/>
        <w:ind w:left="1440" w:right="4004"/>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sede operativa: Via Fersina 12/a,  </w:t>
      </w:r>
    </w:p>
    <w:p w14:paraId="33ED7923" w14:textId="77777777" w:rsidR="00B91EFE" w:rsidRDefault="00B91EFE" w:rsidP="00B91EFE">
      <w:pPr>
        <w:widowControl w:val="0"/>
        <w:pBdr>
          <w:top w:val="nil"/>
          <w:left w:val="nil"/>
          <w:bottom w:val="nil"/>
          <w:right w:val="nil"/>
          <w:between w:val="nil"/>
        </w:pBdr>
        <w:spacing w:line="240" w:lineRule="auto"/>
        <w:ind w:right="4514"/>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tel. 0461/923082  </w:t>
      </w:r>
    </w:p>
    <w:p w14:paraId="384D0803" w14:textId="07909FDB" w:rsidR="00B91EFE" w:rsidRDefault="00B91EFE" w:rsidP="00B91EFE">
      <w:pPr>
        <w:widowControl w:val="0"/>
        <w:pBdr>
          <w:top w:val="nil"/>
          <w:left w:val="nil"/>
          <w:bottom w:val="nil"/>
          <w:right w:val="nil"/>
          <w:between w:val="nil"/>
        </w:pBdr>
        <w:spacing w:line="240" w:lineRule="auto"/>
        <w:ind w:right="4298"/>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c.f. e piva 02239880228 </w:t>
      </w:r>
    </w:p>
    <w:p w14:paraId="64A0C076" w14:textId="77777777" w:rsidR="00B91EFE" w:rsidRPr="00B91EFE" w:rsidRDefault="00B91EFE" w:rsidP="00B91EFE">
      <w:pPr>
        <w:widowControl w:val="0"/>
        <w:pBdr>
          <w:top w:val="nil"/>
          <w:left w:val="nil"/>
          <w:bottom w:val="nil"/>
          <w:right w:val="nil"/>
          <w:between w:val="nil"/>
        </w:pBdr>
        <w:spacing w:line="240" w:lineRule="auto"/>
        <w:ind w:right="4298"/>
        <w:jc w:val="right"/>
        <w:rPr>
          <w:rFonts w:ascii="Times New Roman" w:eastAsia="Times New Roman" w:hAnsi="Times New Roman" w:cs="Times New Roman"/>
          <w:color w:val="00000A"/>
          <w:sz w:val="18"/>
          <w:szCs w:val="18"/>
        </w:rPr>
      </w:pPr>
      <w:hyperlink r:id="rId8" w:history="1">
        <w:r w:rsidRPr="00B91EFE">
          <w:rPr>
            <w:rStyle w:val="Collegamentoipertestuale"/>
            <w:rFonts w:ascii="Times New Roman" w:eastAsia="Times New Roman" w:hAnsi="Times New Roman" w:cs="Times New Roman"/>
            <w:sz w:val="18"/>
            <w:szCs w:val="18"/>
          </w:rPr>
          <w:t>ivgtrento@gmail.com</w:t>
        </w:r>
      </w:hyperlink>
    </w:p>
    <w:p w14:paraId="1AB86E68" w14:textId="02576F04" w:rsidR="00B91EFE" w:rsidRDefault="00B91EFE" w:rsidP="00B91EFE">
      <w:pPr>
        <w:widowControl w:val="0"/>
        <w:pBdr>
          <w:top w:val="nil"/>
          <w:left w:val="nil"/>
          <w:bottom w:val="nil"/>
          <w:right w:val="nil"/>
          <w:between w:val="nil"/>
        </w:pBdr>
        <w:spacing w:line="240" w:lineRule="auto"/>
        <w:ind w:right="3059"/>
        <w:jc w:val="center"/>
        <w:rPr>
          <w:rFonts w:ascii="Times New Roman" w:eastAsia="Times New Roman" w:hAnsi="Times New Roman" w:cs="Times New Roman"/>
          <w:color w:val="0000FF"/>
          <w:sz w:val="18"/>
          <w:szCs w:val="18"/>
        </w:rPr>
      </w:pPr>
      <w:r>
        <w:rPr>
          <w:rFonts w:ascii="Times New Roman" w:eastAsia="Times New Roman" w:hAnsi="Times New Roman" w:cs="Times New Roman"/>
          <w:color w:val="0000FF"/>
          <w:sz w:val="18"/>
          <w:szCs w:val="18"/>
        </w:rPr>
        <w:t xml:space="preserve">           ivgtrento@associazioneivg.legalmail.it</w:t>
      </w:r>
    </w:p>
    <w:p w14:paraId="6DF6292B" w14:textId="77777777" w:rsidR="00B91EFE" w:rsidRDefault="00B91EFE" w:rsidP="00B91EFE">
      <w:pPr>
        <w:widowControl w:val="0"/>
        <w:pBdr>
          <w:top w:val="nil"/>
          <w:left w:val="nil"/>
          <w:bottom w:val="nil"/>
          <w:right w:val="nil"/>
          <w:between w:val="nil"/>
        </w:pBdr>
        <w:spacing w:line="240" w:lineRule="auto"/>
        <w:ind w:right="4298"/>
        <w:jc w:val="center"/>
        <w:rPr>
          <w:rFonts w:ascii="Times New Roman" w:eastAsia="Times New Roman" w:hAnsi="Times New Roman" w:cs="Times New Roman"/>
          <w:color w:val="00000A"/>
          <w:sz w:val="18"/>
          <w:szCs w:val="18"/>
        </w:rPr>
      </w:pPr>
    </w:p>
    <w:p w14:paraId="4411A996" w14:textId="77777777" w:rsidR="00B91EFE" w:rsidRDefault="00B91EFE" w:rsidP="00E531D8">
      <w:pPr>
        <w:widowControl w:val="0"/>
        <w:pBdr>
          <w:top w:val="nil"/>
          <w:left w:val="nil"/>
          <w:bottom w:val="nil"/>
          <w:right w:val="nil"/>
          <w:between w:val="nil"/>
        </w:pBdr>
        <w:spacing w:before="888" w:line="240" w:lineRule="auto"/>
        <w:ind w:right="3937"/>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Tribunale di TRENTO </w:t>
      </w:r>
    </w:p>
    <w:p w14:paraId="74A3AD7D" w14:textId="77777777" w:rsidR="00B91EFE" w:rsidRDefault="00B91EFE" w:rsidP="00B91EFE">
      <w:pPr>
        <w:widowControl w:val="0"/>
        <w:pBdr>
          <w:top w:val="nil"/>
          <w:left w:val="nil"/>
          <w:bottom w:val="nil"/>
          <w:right w:val="nil"/>
          <w:between w:val="nil"/>
        </w:pBdr>
        <w:spacing w:line="240" w:lineRule="auto"/>
        <w:ind w:right="3013"/>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Sezione PROCEDURE CONCORSUALI </w:t>
      </w:r>
    </w:p>
    <w:p w14:paraId="464397FC" w14:textId="77777777" w:rsidR="00B91EFE" w:rsidRDefault="00B91EFE" w:rsidP="00B91EFE">
      <w:pPr>
        <w:widowControl w:val="0"/>
        <w:pBdr>
          <w:top w:val="nil"/>
          <w:left w:val="nil"/>
          <w:bottom w:val="nil"/>
          <w:right w:val="nil"/>
          <w:between w:val="nil"/>
        </w:pBdr>
        <w:spacing w:before="658" w:line="240" w:lineRule="auto"/>
        <w:ind w:right="2126"/>
        <w:jc w:val="right"/>
        <w:rPr>
          <w:rFonts w:ascii="Times New Roman" w:eastAsia="Times New Roman" w:hAnsi="Times New Roman" w:cs="Times New Roman"/>
          <w:b/>
          <w:bCs/>
          <w:color w:val="000000"/>
          <w:sz w:val="31"/>
          <w:szCs w:val="31"/>
        </w:rPr>
      </w:pPr>
      <w:r>
        <w:rPr>
          <w:rFonts w:ascii="Times New Roman" w:eastAsia="Times New Roman" w:hAnsi="Times New Roman" w:cs="Times New Roman"/>
          <w:b/>
          <w:bCs/>
          <w:color w:val="000000"/>
          <w:sz w:val="31"/>
          <w:szCs w:val="31"/>
        </w:rPr>
        <w:t xml:space="preserve">LIQUIDAZIONE GIUDIZIALE N. 31/2025 </w:t>
      </w:r>
    </w:p>
    <w:p w14:paraId="2A2A76E4" w14:textId="77777777" w:rsidR="00B91EFE" w:rsidRDefault="00B91EFE" w:rsidP="00B91EFE">
      <w:pPr>
        <w:widowControl w:val="0"/>
        <w:pBdr>
          <w:top w:val="nil"/>
          <w:left w:val="nil"/>
          <w:bottom w:val="nil"/>
          <w:right w:val="nil"/>
          <w:between w:val="nil"/>
        </w:pBdr>
        <w:spacing w:before="189" w:line="240" w:lineRule="auto"/>
        <w:ind w:right="2408"/>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GIUDICE DELEGATO: Dott. BENEDETTO SIEFF </w:t>
      </w:r>
    </w:p>
    <w:p w14:paraId="3A1FC239" w14:textId="77777777" w:rsidR="00B91EFE" w:rsidRDefault="00B91EFE" w:rsidP="00B91EFE">
      <w:pPr>
        <w:widowControl w:val="0"/>
        <w:pBdr>
          <w:top w:val="nil"/>
          <w:left w:val="nil"/>
          <w:bottom w:val="nil"/>
          <w:right w:val="nil"/>
          <w:between w:val="nil"/>
        </w:pBdr>
        <w:spacing w:before="178" w:line="240" w:lineRule="auto"/>
        <w:ind w:right="280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LIQUIDATORE: Dott.ssa Patrizia Gentil </w:t>
      </w:r>
    </w:p>
    <w:p w14:paraId="6F6AE3CA" w14:textId="77777777" w:rsidR="00B91EFE" w:rsidRDefault="00B91EFE" w:rsidP="00B91EFE">
      <w:pPr>
        <w:widowControl w:val="0"/>
        <w:pBdr>
          <w:top w:val="nil"/>
          <w:left w:val="nil"/>
          <w:bottom w:val="nil"/>
          <w:right w:val="nil"/>
          <w:between w:val="nil"/>
        </w:pBdr>
        <w:spacing w:before="178" w:line="240" w:lineRule="auto"/>
        <w:ind w:right="2662"/>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DELEGATO ALLA VENDITA: IVG TRENTO </w:t>
      </w:r>
    </w:p>
    <w:p w14:paraId="72B1A97A" w14:textId="77777777" w:rsidR="00B91EFE" w:rsidRDefault="00B91EFE" w:rsidP="00B91EFE">
      <w:pPr>
        <w:widowControl w:val="0"/>
        <w:pBdr>
          <w:top w:val="nil"/>
          <w:left w:val="nil"/>
          <w:bottom w:val="nil"/>
          <w:right w:val="nil"/>
          <w:between w:val="nil"/>
        </w:pBdr>
        <w:spacing w:before="634" w:line="240" w:lineRule="auto"/>
        <w:ind w:right="4579"/>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p>
    <w:p w14:paraId="0B17F187" w14:textId="77777777" w:rsidR="00B91EFE" w:rsidRDefault="00B91EFE" w:rsidP="00B91EFE">
      <w:pPr>
        <w:widowControl w:val="0"/>
        <w:pBdr>
          <w:top w:val="nil"/>
          <w:left w:val="nil"/>
          <w:bottom w:val="nil"/>
          <w:right w:val="nil"/>
          <w:between w:val="nil"/>
        </w:pBdr>
        <w:spacing w:before="780" w:line="240" w:lineRule="auto"/>
        <w:ind w:right="3211"/>
        <w:jc w:val="right"/>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AVVISO DI VENDITA</w:t>
      </w:r>
    </w:p>
    <w:p w14:paraId="30998928" w14:textId="77777777" w:rsidR="00B91EFE" w:rsidRDefault="00B91EFE" w:rsidP="00B91EFE">
      <w:pPr>
        <w:widowControl w:val="0"/>
        <w:pBdr>
          <w:top w:val="nil"/>
          <w:left w:val="nil"/>
          <w:bottom w:val="nil"/>
          <w:right w:val="nil"/>
          <w:between w:val="nil"/>
        </w:pBdr>
        <w:spacing w:before="192" w:line="240" w:lineRule="auto"/>
        <w:ind w:right="4027"/>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SINCRONA MISTA</w:t>
      </w:r>
    </w:p>
    <w:p w14:paraId="54E5EF6E" w14:textId="2BE3A93F" w:rsidR="00B91EFE" w:rsidRDefault="003729D0" w:rsidP="00E531D8">
      <w:pPr>
        <w:widowControl w:val="0"/>
        <w:pBdr>
          <w:top w:val="nil"/>
          <w:left w:val="nil"/>
          <w:bottom w:val="nil"/>
          <w:right w:val="nil"/>
          <w:between w:val="nil"/>
        </w:pBdr>
        <w:spacing w:before="634"/>
        <w:ind w:right="239"/>
        <w:jc w:val="both"/>
        <w:rPr>
          <w:rFonts w:ascii="Times New Roman" w:eastAsia="Times New Roman" w:hAnsi="Times New Roman" w:cs="Times New Roman"/>
          <w:b/>
          <w:bCs/>
          <w:color w:val="000000"/>
          <w:sz w:val="24"/>
          <w:szCs w:val="24"/>
        </w:rPr>
      </w:pPr>
      <w:r w:rsidRPr="003729D0">
        <w:rPr>
          <w:rFonts w:ascii="Times New Roman" w:eastAsia="Times New Roman" w:hAnsi="Times New Roman" w:cs="Times New Roman"/>
          <w:color w:val="000000"/>
          <w:sz w:val="24"/>
          <w:szCs w:val="24"/>
        </w:rPr>
        <w:t>La sottoscritta Dottoressa Patrizia Gentil della Liquidazione Giudiziale n.31/2025, attraverso il delegato Istituto Vendite Giudiziarie del Trentino (in sigla IVGT S.r.l.), avvisa che si procederà alla vendita dei seguenti beni</w:t>
      </w:r>
      <w:r w:rsidR="00B91EFE">
        <w:rPr>
          <w:rFonts w:ascii="Times New Roman" w:eastAsia="Times New Roman" w:hAnsi="Times New Roman" w:cs="Times New Roman"/>
          <w:color w:val="000000"/>
          <w:sz w:val="24"/>
          <w:szCs w:val="24"/>
        </w:rPr>
        <w:t xml:space="preserve">: </w:t>
      </w:r>
      <w:r w:rsidR="005B1DF5">
        <w:rPr>
          <w:rFonts w:ascii="Times New Roman" w:eastAsia="Times New Roman" w:hAnsi="Times New Roman" w:cs="Times New Roman"/>
          <w:b/>
          <w:bCs/>
          <w:color w:val="000000"/>
          <w:sz w:val="24"/>
          <w:szCs w:val="24"/>
        </w:rPr>
        <w:t xml:space="preserve">LOTTO </w:t>
      </w:r>
      <w:r w:rsidR="00A05485">
        <w:rPr>
          <w:rFonts w:ascii="Times New Roman" w:eastAsia="Times New Roman" w:hAnsi="Times New Roman" w:cs="Times New Roman"/>
          <w:b/>
          <w:bCs/>
          <w:color w:val="000000"/>
          <w:sz w:val="24"/>
          <w:szCs w:val="24"/>
        </w:rPr>
        <w:t>6</w:t>
      </w:r>
      <w:r w:rsidR="00C26C8C">
        <w:rPr>
          <w:rFonts w:ascii="Times New Roman" w:eastAsia="Times New Roman" w:hAnsi="Times New Roman" w:cs="Times New Roman"/>
          <w:b/>
          <w:bCs/>
          <w:color w:val="000000"/>
          <w:sz w:val="24"/>
          <w:szCs w:val="24"/>
        </w:rPr>
        <w:t>)</w:t>
      </w:r>
      <w:r w:rsidR="005B1DF5">
        <w:rPr>
          <w:rFonts w:ascii="Times New Roman" w:eastAsia="Times New Roman" w:hAnsi="Times New Roman" w:cs="Times New Roman"/>
          <w:b/>
          <w:bCs/>
          <w:color w:val="000000"/>
          <w:sz w:val="24"/>
          <w:szCs w:val="24"/>
        </w:rPr>
        <w:t xml:space="preserve"> </w:t>
      </w:r>
      <w:r w:rsidR="00A05485">
        <w:rPr>
          <w:rFonts w:ascii="Times New Roman" w:eastAsia="Times New Roman" w:hAnsi="Times New Roman" w:cs="Times New Roman"/>
          <w:b/>
          <w:bCs/>
          <w:color w:val="000000"/>
          <w:sz w:val="24"/>
          <w:szCs w:val="24"/>
        </w:rPr>
        <w:t xml:space="preserve">DUE DEPOSITI INTERRATI DELLA SUPERFICIE DI CIRCA 183 MQ ED UN PIAZZALE SOPRASTANTE DESTINATO A PARCHEGGIO </w:t>
      </w:r>
      <w:r w:rsidR="005B1DF5">
        <w:rPr>
          <w:rFonts w:ascii="Times New Roman" w:eastAsia="Times New Roman" w:hAnsi="Times New Roman" w:cs="Times New Roman"/>
          <w:b/>
          <w:bCs/>
          <w:color w:val="000000"/>
          <w:sz w:val="24"/>
          <w:szCs w:val="24"/>
        </w:rPr>
        <w:t>sit</w:t>
      </w:r>
      <w:r w:rsidR="00A05485">
        <w:rPr>
          <w:rFonts w:ascii="Times New Roman" w:eastAsia="Times New Roman" w:hAnsi="Times New Roman" w:cs="Times New Roman"/>
          <w:b/>
          <w:bCs/>
          <w:color w:val="000000"/>
          <w:sz w:val="24"/>
          <w:szCs w:val="24"/>
        </w:rPr>
        <w:t>o</w:t>
      </w:r>
      <w:r w:rsidR="005B1DF5">
        <w:rPr>
          <w:rFonts w:ascii="Times New Roman" w:eastAsia="Times New Roman" w:hAnsi="Times New Roman" w:cs="Times New Roman"/>
          <w:b/>
          <w:bCs/>
          <w:color w:val="000000"/>
          <w:sz w:val="24"/>
          <w:szCs w:val="24"/>
        </w:rPr>
        <w:t xml:space="preserve"> in Via </w:t>
      </w:r>
      <w:r w:rsidR="00A05485">
        <w:rPr>
          <w:rFonts w:ascii="Times New Roman" w:eastAsia="Times New Roman" w:hAnsi="Times New Roman" w:cs="Times New Roman"/>
          <w:b/>
          <w:bCs/>
          <w:color w:val="000000"/>
          <w:sz w:val="24"/>
          <w:szCs w:val="24"/>
        </w:rPr>
        <w:t>Sotto Samonte</w:t>
      </w:r>
      <w:r w:rsidR="005B1DF5">
        <w:rPr>
          <w:rFonts w:ascii="Times New Roman" w:eastAsia="Times New Roman" w:hAnsi="Times New Roman" w:cs="Times New Roman"/>
          <w:b/>
          <w:bCs/>
          <w:color w:val="000000"/>
          <w:sz w:val="24"/>
          <w:szCs w:val="24"/>
        </w:rPr>
        <w:t xml:space="preserve"> Borgo Valsugana (TN).</w:t>
      </w:r>
    </w:p>
    <w:p w14:paraId="141F3218" w14:textId="77777777" w:rsidR="00B91EFE" w:rsidRDefault="00B91EFE" w:rsidP="00E531D8">
      <w:pPr>
        <w:widowControl w:val="0"/>
        <w:pBdr>
          <w:top w:val="nil"/>
          <w:left w:val="nil"/>
          <w:bottom w:val="nil"/>
          <w:right w:val="nil"/>
          <w:between w:val="nil"/>
        </w:pBdr>
        <w:spacing w:before="282"/>
        <w:ind w:right="4661"/>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AVVISA</w:t>
      </w:r>
    </w:p>
    <w:p w14:paraId="0BD1821D" w14:textId="77777777" w:rsidR="00B91EFE" w:rsidRDefault="00B91EFE" w:rsidP="00E531D8">
      <w:pPr>
        <w:widowControl w:val="0"/>
        <w:pBdr>
          <w:top w:val="nil"/>
          <w:left w:val="nil"/>
          <w:bottom w:val="nil"/>
          <w:right w:val="nil"/>
          <w:between w:val="nil"/>
        </w:pBdr>
        <w:spacing w:before="271"/>
        <w:ind w:right="243"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che il </w:t>
      </w:r>
      <w:r>
        <w:rPr>
          <w:rFonts w:ascii="Times New Roman" w:eastAsia="Times New Roman" w:hAnsi="Times New Roman" w:cs="Times New Roman"/>
          <w:b/>
          <w:bCs/>
          <w:color w:val="000000"/>
          <w:sz w:val="24"/>
          <w:szCs w:val="24"/>
        </w:rPr>
        <w:t xml:space="preserve">giorno 15 DICEMBRE 2026 alle ore 12.00 </w:t>
      </w:r>
      <w:r>
        <w:rPr>
          <w:rFonts w:ascii="Times New Roman" w:eastAsia="Times New Roman" w:hAnsi="Times New Roman" w:cs="Times New Roman"/>
          <w:color w:val="000000"/>
          <w:sz w:val="24"/>
          <w:szCs w:val="24"/>
        </w:rPr>
        <w:t xml:space="preserve">si darà luogo alla vendita dell’immobile sotto descritto, alle condizioni e modalità di seguito indicate. </w:t>
      </w:r>
    </w:p>
    <w:p w14:paraId="7F793945" w14:textId="77777777" w:rsidR="00B91EFE" w:rsidRDefault="00B91EFE" w:rsidP="00E531D8">
      <w:pPr>
        <w:widowControl w:val="0"/>
        <w:pBdr>
          <w:top w:val="nil"/>
          <w:left w:val="nil"/>
          <w:bottom w:val="nil"/>
          <w:right w:val="nil"/>
          <w:between w:val="nil"/>
        </w:pBdr>
        <w:spacing w:before="282"/>
        <w:ind w:right="4778"/>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FISSA</w:t>
      </w:r>
    </w:p>
    <w:p w14:paraId="05376AD2" w14:textId="07F61258" w:rsidR="00B91EFE" w:rsidRDefault="00B91EFE" w:rsidP="00E531D8">
      <w:pPr>
        <w:widowControl w:val="0"/>
        <w:pBdr>
          <w:top w:val="nil"/>
          <w:left w:val="nil"/>
          <w:bottom w:val="nil"/>
          <w:right w:val="nil"/>
          <w:between w:val="nil"/>
        </w:pBdr>
        <w:spacing w:before="271"/>
        <w:ind w:right="2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quale prezzo base di vendita le somme stabilite per il lotto come di seguito indicato, oltre IVA se e ove dovuta, con offerte in aumento non inferiori a quanto indicato di seguito. </w:t>
      </w:r>
    </w:p>
    <w:p w14:paraId="38727BF1" w14:textId="1288D791" w:rsidR="00E531D8" w:rsidRDefault="00E531D8" w:rsidP="00E531D8">
      <w:pPr>
        <w:widowControl w:val="0"/>
        <w:pBdr>
          <w:top w:val="nil"/>
          <w:left w:val="nil"/>
          <w:bottom w:val="nil"/>
          <w:right w:val="nil"/>
          <w:between w:val="nil"/>
        </w:pBdr>
        <w:ind w:right="2364"/>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DESCRIZIONE DEL LOTTO </w:t>
      </w:r>
      <w:r w:rsidR="00D15F0C">
        <w:rPr>
          <w:rFonts w:ascii="Times New Roman" w:eastAsia="Times New Roman" w:hAnsi="Times New Roman" w:cs="Times New Roman"/>
          <w:b/>
          <w:bCs/>
          <w:color w:val="000000"/>
          <w:sz w:val="24"/>
          <w:szCs w:val="24"/>
        </w:rPr>
        <w:t>6</w:t>
      </w:r>
      <w:r>
        <w:rPr>
          <w:rFonts w:ascii="Times New Roman" w:eastAsia="Times New Roman" w:hAnsi="Times New Roman" w:cs="Times New Roman"/>
          <w:b/>
          <w:bCs/>
          <w:color w:val="000000"/>
          <w:sz w:val="24"/>
          <w:szCs w:val="24"/>
        </w:rPr>
        <w:t xml:space="preserve"> POSTO IN VENDITA </w:t>
      </w:r>
    </w:p>
    <w:p w14:paraId="1AE1E734" w14:textId="49595500" w:rsidR="005B1DF5" w:rsidRPr="009E5053" w:rsidRDefault="005B1DF5" w:rsidP="005B1DF5">
      <w:pPr>
        <w:widowControl w:val="0"/>
        <w:pBdr>
          <w:top w:val="nil"/>
          <w:left w:val="nil"/>
          <w:bottom w:val="nil"/>
          <w:right w:val="nil"/>
          <w:between w:val="nil"/>
        </w:pBdr>
        <w:spacing w:before="272"/>
        <w:ind w:right="397"/>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u w:val="single"/>
        </w:rPr>
        <w:lastRenderedPageBreak/>
        <w:t xml:space="preserve">Dalla perizia del CTU </w:t>
      </w:r>
      <w:proofErr w:type="spellStart"/>
      <w:r w:rsidRPr="009E5053">
        <w:rPr>
          <w:rFonts w:ascii="Times New Roman" w:eastAsia="Times New Roman" w:hAnsi="Times New Roman" w:cs="Times New Roman"/>
          <w:b/>
          <w:bCs/>
          <w:color w:val="000000"/>
          <w:sz w:val="24"/>
          <w:szCs w:val="24"/>
          <w:u w:val="single"/>
        </w:rPr>
        <w:t>dd</w:t>
      </w:r>
      <w:proofErr w:type="spellEnd"/>
      <w:r w:rsidRPr="009E5053">
        <w:rPr>
          <w:rFonts w:ascii="Times New Roman" w:eastAsia="Times New Roman" w:hAnsi="Times New Roman" w:cs="Times New Roman"/>
          <w:b/>
          <w:bCs/>
          <w:color w:val="000000"/>
          <w:sz w:val="24"/>
          <w:szCs w:val="24"/>
          <w:u w:val="single"/>
        </w:rPr>
        <w:t>. 10/07/2026, che qui deve intendersi richiamata e trascritta, risulta</w:t>
      </w:r>
      <w:r w:rsidRPr="009E5053">
        <w:rPr>
          <w:rFonts w:ascii="Times New Roman" w:eastAsia="Times New Roman" w:hAnsi="Times New Roman" w:cs="Times New Roman"/>
          <w:color w:val="000000"/>
          <w:sz w:val="24"/>
          <w:szCs w:val="24"/>
        </w:rPr>
        <w:t xml:space="preserve">: </w:t>
      </w:r>
      <w:r w:rsidR="002C7A2F">
        <w:rPr>
          <w:rFonts w:ascii="Times New Roman" w:eastAsia="Times New Roman" w:hAnsi="Times New Roman" w:cs="Times New Roman"/>
          <w:color w:val="000000"/>
          <w:sz w:val="24"/>
          <w:szCs w:val="24"/>
        </w:rPr>
        <w:t>DEPOSITO INTERRATO E PIAZZALE SOPRASTANTE</w:t>
      </w:r>
      <w:r w:rsidRPr="009E5053">
        <w:rPr>
          <w:rFonts w:ascii="Times New Roman" w:eastAsia="Times New Roman" w:hAnsi="Times New Roman" w:cs="Times New Roman"/>
          <w:color w:val="000000"/>
          <w:sz w:val="24"/>
          <w:szCs w:val="24"/>
        </w:rPr>
        <w:t xml:space="preserve"> sit</w:t>
      </w:r>
      <w:r w:rsidR="002C7A2F">
        <w:rPr>
          <w:rFonts w:ascii="Times New Roman" w:eastAsia="Times New Roman" w:hAnsi="Times New Roman" w:cs="Times New Roman"/>
          <w:color w:val="000000"/>
          <w:sz w:val="24"/>
          <w:szCs w:val="24"/>
        </w:rPr>
        <w:t>o</w:t>
      </w:r>
      <w:r w:rsidRPr="009E5053">
        <w:rPr>
          <w:rFonts w:ascii="Times New Roman" w:eastAsia="Times New Roman" w:hAnsi="Times New Roman" w:cs="Times New Roman"/>
          <w:color w:val="000000"/>
          <w:sz w:val="24"/>
          <w:szCs w:val="24"/>
        </w:rPr>
        <w:t xml:space="preserve"> in Via </w:t>
      </w:r>
      <w:r w:rsidR="002C7A2F">
        <w:rPr>
          <w:rFonts w:ascii="Times New Roman" w:eastAsia="Times New Roman" w:hAnsi="Times New Roman" w:cs="Times New Roman"/>
          <w:color w:val="000000"/>
          <w:sz w:val="24"/>
          <w:szCs w:val="24"/>
        </w:rPr>
        <w:t>Sotto Samonte</w:t>
      </w:r>
      <w:r w:rsidRPr="009E5053">
        <w:rPr>
          <w:rFonts w:ascii="Times New Roman" w:eastAsia="Times New Roman" w:hAnsi="Times New Roman" w:cs="Times New Roman"/>
          <w:color w:val="000000"/>
          <w:sz w:val="24"/>
          <w:szCs w:val="24"/>
        </w:rPr>
        <w:t xml:space="preserve"> Borgo Valsugana (TN). </w:t>
      </w:r>
    </w:p>
    <w:p w14:paraId="676F8324" w14:textId="77777777" w:rsidR="005B1DF5" w:rsidRPr="009E5053" w:rsidRDefault="005B1DF5" w:rsidP="005B1DF5">
      <w:pPr>
        <w:autoSpaceDE w:val="0"/>
        <w:autoSpaceDN w:val="0"/>
        <w:adjustRightInd w:val="0"/>
        <w:jc w:val="both"/>
        <w:rPr>
          <w:rFonts w:ascii="Times New Roman" w:hAnsi="Times New Roman" w:cs="Times New Roman"/>
          <w:sz w:val="24"/>
          <w:szCs w:val="24"/>
        </w:rPr>
      </w:pPr>
    </w:p>
    <w:p w14:paraId="26380490" w14:textId="3A8AF084" w:rsidR="002C7A2F" w:rsidRPr="002C7A2F" w:rsidRDefault="00C26C8C" w:rsidP="002C7A2F">
      <w:pPr>
        <w:autoSpaceDE w:val="0"/>
        <w:autoSpaceDN w:val="0"/>
        <w:adjustRightInd w:val="0"/>
        <w:jc w:val="both"/>
        <w:rPr>
          <w:rFonts w:ascii="Times New Roman" w:hAnsi="Times New Roman" w:cs="Times New Roman"/>
          <w:b/>
          <w:bCs/>
          <w:sz w:val="24"/>
          <w:szCs w:val="24"/>
        </w:rPr>
      </w:pPr>
      <w:r w:rsidRPr="00C26C8C">
        <w:rPr>
          <w:rFonts w:ascii="Times New Roman" w:hAnsi="Times New Roman" w:cs="Times New Roman"/>
          <w:sz w:val="24"/>
          <w:szCs w:val="24"/>
        </w:rPr>
        <w:t xml:space="preserve">La </w:t>
      </w:r>
      <w:r w:rsidR="002C7A2F" w:rsidRPr="002C7A2F">
        <w:rPr>
          <w:rFonts w:ascii="Times New Roman" w:hAnsi="Times New Roman" w:cs="Times New Roman"/>
          <w:b/>
          <w:bCs/>
          <w:sz w:val="24"/>
          <w:szCs w:val="24"/>
        </w:rPr>
        <w:t>P.ED. 2617 è divisa in porzioni materiali</w:t>
      </w:r>
      <w:r w:rsidR="002C7A2F">
        <w:rPr>
          <w:rFonts w:ascii="Times New Roman" w:hAnsi="Times New Roman" w:cs="Times New Roman"/>
          <w:b/>
          <w:bCs/>
          <w:sz w:val="24"/>
          <w:szCs w:val="24"/>
        </w:rPr>
        <w:t>:</w:t>
      </w:r>
    </w:p>
    <w:p w14:paraId="6AB850C5" w14:textId="741BD92F" w:rsidR="002C7A2F" w:rsidRPr="002C7A2F" w:rsidRDefault="002C7A2F" w:rsidP="002C7A2F">
      <w:pPr>
        <w:autoSpaceDE w:val="0"/>
        <w:autoSpaceDN w:val="0"/>
        <w:adjustRightInd w:val="0"/>
        <w:jc w:val="both"/>
        <w:rPr>
          <w:rFonts w:ascii="Times New Roman" w:hAnsi="Times New Roman" w:cs="Times New Roman"/>
          <w:sz w:val="24"/>
          <w:szCs w:val="24"/>
        </w:rPr>
      </w:pPr>
      <w:r w:rsidRPr="002C7A2F">
        <w:rPr>
          <w:rFonts w:ascii="Times New Roman" w:hAnsi="Times New Roman" w:cs="Times New Roman"/>
          <w:sz w:val="24"/>
          <w:szCs w:val="24"/>
        </w:rPr>
        <w:t>P.M. 1 viene così descritta:</w:t>
      </w:r>
      <w:r>
        <w:rPr>
          <w:rFonts w:ascii="Times New Roman" w:hAnsi="Times New Roman" w:cs="Times New Roman"/>
          <w:sz w:val="24"/>
          <w:szCs w:val="24"/>
        </w:rPr>
        <w:t xml:space="preserve"> </w:t>
      </w:r>
      <w:r w:rsidRPr="002C7A2F">
        <w:rPr>
          <w:rFonts w:ascii="Times New Roman" w:hAnsi="Times New Roman" w:cs="Times New Roman"/>
          <w:sz w:val="24"/>
          <w:szCs w:val="24"/>
        </w:rPr>
        <w:t>Piano interrato: rampa di accesso, due depositi e tre bocche di lupo.</w:t>
      </w:r>
    </w:p>
    <w:p w14:paraId="6ED8F810" w14:textId="5C3DA07E" w:rsidR="005B1DF5" w:rsidRDefault="002C7A2F" w:rsidP="002C7A2F">
      <w:pPr>
        <w:autoSpaceDE w:val="0"/>
        <w:autoSpaceDN w:val="0"/>
        <w:adjustRightInd w:val="0"/>
        <w:jc w:val="both"/>
        <w:rPr>
          <w:rFonts w:ascii="Times New Roman" w:hAnsi="Times New Roman" w:cs="Times New Roman"/>
          <w:sz w:val="24"/>
          <w:szCs w:val="24"/>
        </w:rPr>
      </w:pPr>
      <w:r w:rsidRPr="002C7A2F">
        <w:rPr>
          <w:rFonts w:ascii="Times New Roman" w:hAnsi="Times New Roman" w:cs="Times New Roman"/>
          <w:sz w:val="24"/>
          <w:szCs w:val="24"/>
        </w:rPr>
        <w:t>La P.M. 1 viene così descritta:</w:t>
      </w:r>
      <w:r>
        <w:rPr>
          <w:rFonts w:ascii="Times New Roman" w:hAnsi="Times New Roman" w:cs="Times New Roman"/>
          <w:sz w:val="24"/>
          <w:szCs w:val="24"/>
        </w:rPr>
        <w:t xml:space="preserve"> </w:t>
      </w:r>
      <w:r w:rsidRPr="002C7A2F">
        <w:rPr>
          <w:rFonts w:ascii="Times New Roman" w:hAnsi="Times New Roman" w:cs="Times New Roman"/>
          <w:sz w:val="24"/>
          <w:szCs w:val="24"/>
        </w:rPr>
        <w:t>Piano terra: piazzale.</w:t>
      </w:r>
    </w:p>
    <w:p w14:paraId="3EA3B523" w14:textId="77777777" w:rsidR="00C26C8C" w:rsidRPr="009E5053" w:rsidRDefault="00C26C8C" w:rsidP="00C26C8C">
      <w:pPr>
        <w:autoSpaceDE w:val="0"/>
        <w:autoSpaceDN w:val="0"/>
        <w:adjustRightInd w:val="0"/>
        <w:jc w:val="both"/>
        <w:rPr>
          <w:rFonts w:ascii="Times New Roman" w:hAnsi="Times New Roman" w:cs="Times New Roman"/>
          <w:sz w:val="24"/>
          <w:szCs w:val="24"/>
        </w:rPr>
      </w:pPr>
    </w:p>
    <w:p w14:paraId="14B18031" w14:textId="1553EBBA" w:rsidR="005B1DF5"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FABBRICATO </w:t>
      </w:r>
    </w:p>
    <w:p w14:paraId="789F29E9" w14:textId="275BE126" w:rsidR="002C7A2F" w:rsidRDefault="002C7A2F" w:rsidP="002C7A2F">
      <w:pPr>
        <w:autoSpaceDE w:val="0"/>
        <w:autoSpaceDN w:val="0"/>
        <w:adjustRightInd w:val="0"/>
        <w:jc w:val="both"/>
        <w:rPr>
          <w:rFonts w:ascii="Times New Roman" w:hAnsi="Times New Roman" w:cs="Times New Roman"/>
          <w:sz w:val="24"/>
          <w:szCs w:val="24"/>
        </w:rPr>
      </w:pPr>
      <w:r w:rsidRPr="002C7A2F">
        <w:rPr>
          <w:rFonts w:ascii="Times New Roman" w:hAnsi="Times New Roman" w:cs="Times New Roman"/>
          <w:sz w:val="24"/>
          <w:szCs w:val="24"/>
        </w:rPr>
        <w:t>L’edificio è situato in Via Sotto Samonte, nella periferia sud di Borgo</w:t>
      </w:r>
      <w:r>
        <w:rPr>
          <w:rFonts w:ascii="Times New Roman" w:hAnsi="Times New Roman" w:cs="Times New Roman"/>
          <w:sz w:val="24"/>
          <w:szCs w:val="24"/>
        </w:rPr>
        <w:t xml:space="preserve"> </w:t>
      </w:r>
      <w:r w:rsidRPr="002C7A2F">
        <w:rPr>
          <w:rFonts w:ascii="Times New Roman" w:hAnsi="Times New Roman" w:cs="Times New Roman"/>
          <w:sz w:val="24"/>
          <w:szCs w:val="24"/>
        </w:rPr>
        <w:t>Valsugana (TN), a circa 600 mt dalla sede dell’Amministrazione Comunale di</w:t>
      </w:r>
      <w:r>
        <w:rPr>
          <w:rFonts w:ascii="Times New Roman" w:hAnsi="Times New Roman" w:cs="Times New Roman"/>
          <w:sz w:val="24"/>
          <w:szCs w:val="24"/>
        </w:rPr>
        <w:t xml:space="preserve"> </w:t>
      </w:r>
      <w:r w:rsidRPr="002C7A2F">
        <w:rPr>
          <w:rFonts w:ascii="Times New Roman" w:hAnsi="Times New Roman" w:cs="Times New Roman"/>
          <w:sz w:val="24"/>
          <w:szCs w:val="24"/>
        </w:rPr>
        <w:t>Borgo Valsugana.</w:t>
      </w:r>
      <w:r>
        <w:rPr>
          <w:rFonts w:ascii="Times New Roman" w:hAnsi="Times New Roman" w:cs="Times New Roman"/>
          <w:sz w:val="24"/>
          <w:szCs w:val="24"/>
        </w:rPr>
        <w:t xml:space="preserve"> </w:t>
      </w:r>
      <w:r w:rsidRPr="002C7A2F">
        <w:rPr>
          <w:rFonts w:ascii="Times New Roman" w:hAnsi="Times New Roman" w:cs="Times New Roman"/>
          <w:sz w:val="24"/>
          <w:szCs w:val="24"/>
        </w:rPr>
        <w:t>All’immobile si accede direttamente dalla viabilità pubblica comunale, per poi</w:t>
      </w:r>
      <w:r>
        <w:rPr>
          <w:rFonts w:ascii="Times New Roman" w:hAnsi="Times New Roman" w:cs="Times New Roman"/>
          <w:sz w:val="24"/>
          <w:szCs w:val="24"/>
        </w:rPr>
        <w:t xml:space="preserve"> </w:t>
      </w:r>
      <w:r w:rsidRPr="002C7A2F">
        <w:rPr>
          <w:rFonts w:ascii="Times New Roman" w:hAnsi="Times New Roman" w:cs="Times New Roman"/>
          <w:sz w:val="24"/>
          <w:szCs w:val="24"/>
        </w:rPr>
        <w:t>proseguire su un tratto di strada privata sulla quale non si vanta diritto di</w:t>
      </w:r>
      <w:r>
        <w:rPr>
          <w:rFonts w:ascii="Times New Roman" w:hAnsi="Times New Roman" w:cs="Times New Roman"/>
          <w:sz w:val="24"/>
          <w:szCs w:val="24"/>
        </w:rPr>
        <w:t xml:space="preserve"> </w:t>
      </w:r>
      <w:r w:rsidRPr="002C7A2F">
        <w:rPr>
          <w:rFonts w:ascii="Times New Roman" w:hAnsi="Times New Roman" w:cs="Times New Roman"/>
          <w:sz w:val="24"/>
          <w:szCs w:val="24"/>
        </w:rPr>
        <w:t>passaggio.</w:t>
      </w:r>
    </w:p>
    <w:p w14:paraId="49ED7455" w14:textId="696E1807" w:rsidR="002C7A2F" w:rsidRDefault="002C7A2F" w:rsidP="002C7A2F">
      <w:pPr>
        <w:autoSpaceDE w:val="0"/>
        <w:autoSpaceDN w:val="0"/>
        <w:adjustRightInd w:val="0"/>
        <w:jc w:val="both"/>
        <w:rPr>
          <w:rFonts w:ascii="Times New Roman" w:hAnsi="Times New Roman" w:cs="Times New Roman"/>
          <w:sz w:val="24"/>
          <w:szCs w:val="24"/>
        </w:rPr>
      </w:pPr>
      <w:r w:rsidRPr="002C7A2F">
        <w:rPr>
          <w:rFonts w:ascii="Times New Roman" w:hAnsi="Times New Roman" w:cs="Times New Roman"/>
          <w:sz w:val="24"/>
          <w:szCs w:val="24"/>
        </w:rPr>
        <w:t xml:space="preserve">La </w:t>
      </w:r>
      <w:r w:rsidRPr="002C7A2F">
        <w:rPr>
          <w:rFonts w:ascii="Times New Roman" w:hAnsi="Times New Roman" w:cs="Times New Roman"/>
          <w:b/>
          <w:bCs/>
          <w:sz w:val="24"/>
          <w:szCs w:val="24"/>
        </w:rPr>
        <w:t>P.ED. 2617</w:t>
      </w:r>
      <w:r w:rsidRPr="002C7A2F">
        <w:rPr>
          <w:rFonts w:ascii="Times New Roman" w:hAnsi="Times New Roman" w:cs="Times New Roman"/>
          <w:sz w:val="24"/>
          <w:szCs w:val="24"/>
        </w:rPr>
        <w:t xml:space="preserve"> del Comune Catastale di Borgo identifica un edificio di tipo</w:t>
      </w:r>
      <w:r>
        <w:rPr>
          <w:rFonts w:ascii="Times New Roman" w:hAnsi="Times New Roman" w:cs="Times New Roman"/>
          <w:sz w:val="24"/>
          <w:szCs w:val="24"/>
        </w:rPr>
        <w:t xml:space="preserve"> </w:t>
      </w:r>
      <w:r w:rsidRPr="002C7A2F">
        <w:rPr>
          <w:rFonts w:ascii="Times New Roman" w:hAnsi="Times New Roman" w:cs="Times New Roman"/>
          <w:sz w:val="24"/>
          <w:szCs w:val="24"/>
        </w:rPr>
        <w:t>residenziale posto nella periferia sud del Comune di Borgo Valsugana.</w:t>
      </w:r>
      <w:r>
        <w:rPr>
          <w:rFonts w:ascii="Times New Roman" w:hAnsi="Times New Roman" w:cs="Times New Roman"/>
          <w:sz w:val="24"/>
          <w:szCs w:val="24"/>
        </w:rPr>
        <w:t xml:space="preserve"> </w:t>
      </w:r>
      <w:proofErr w:type="gramStart"/>
      <w:r w:rsidRPr="002C7A2F">
        <w:rPr>
          <w:rFonts w:ascii="Times New Roman" w:hAnsi="Times New Roman" w:cs="Times New Roman"/>
          <w:sz w:val="24"/>
          <w:szCs w:val="24"/>
        </w:rPr>
        <w:t>E’</w:t>
      </w:r>
      <w:proofErr w:type="gramEnd"/>
      <w:r w:rsidRPr="002C7A2F">
        <w:rPr>
          <w:rFonts w:ascii="Times New Roman" w:hAnsi="Times New Roman" w:cs="Times New Roman"/>
          <w:sz w:val="24"/>
          <w:szCs w:val="24"/>
        </w:rPr>
        <w:t xml:space="preserve"> stato costruito sulla base della Concessione di Edificare N° 7848/1992 e</w:t>
      </w:r>
      <w:r>
        <w:rPr>
          <w:rFonts w:ascii="Times New Roman" w:hAnsi="Times New Roman" w:cs="Times New Roman"/>
          <w:sz w:val="24"/>
          <w:szCs w:val="24"/>
        </w:rPr>
        <w:t xml:space="preserve"> </w:t>
      </w:r>
      <w:r w:rsidRPr="002C7A2F">
        <w:rPr>
          <w:rFonts w:ascii="Times New Roman" w:hAnsi="Times New Roman" w:cs="Times New Roman"/>
          <w:sz w:val="24"/>
          <w:szCs w:val="24"/>
        </w:rPr>
        <w:t>successive varianti (vedasi titoli edilizi allegati).</w:t>
      </w:r>
      <w:r>
        <w:rPr>
          <w:rFonts w:ascii="Times New Roman" w:hAnsi="Times New Roman" w:cs="Times New Roman"/>
          <w:sz w:val="24"/>
          <w:szCs w:val="24"/>
        </w:rPr>
        <w:t xml:space="preserve"> </w:t>
      </w:r>
      <w:r w:rsidRPr="002C7A2F">
        <w:rPr>
          <w:rFonts w:ascii="Times New Roman" w:hAnsi="Times New Roman" w:cs="Times New Roman"/>
          <w:sz w:val="24"/>
          <w:szCs w:val="24"/>
        </w:rPr>
        <w:t>L’immobile è formato da un piano interrato destinato a deposito e da un</w:t>
      </w:r>
      <w:r>
        <w:rPr>
          <w:rFonts w:ascii="Times New Roman" w:hAnsi="Times New Roman" w:cs="Times New Roman"/>
          <w:sz w:val="24"/>
          <w:szCs w:val="24"/>
        </w:rPr>
        <w:t xml:space="preserve"> </w:t>
      </w:r>
      <w:r w:rsidRPr="002C7A2F">
        <w:rPr>
          <w:rFonts w:ascii="Times New Roman" w:hAnsi="Times New Roman" w:cs="Times New Roman"/>
          <w:sz w:val="24"/>
          <w:szCs w:val="24"/>
        </w:rPr>
        <w:t>piano terra destinato a parcheggi.</w:t>
      </w:r>
      <w:r>
        <w:rPr>
          <w:rFonts w:ascii="Times New Roman" w:hAnsi="Times New Roman" w:cs="Times New Roman"/>
          <w:sz w:val="24"/>
          <w:szCs w:val="24"/>
        </w:rPr>
        <w:t xml:space="preserve"> </w:t>
      </w:r>
      <w:r w:rsidRPr="002C7A2F">
        <w:rPr>
          <w:rFonts w:ascii="Times New Roman" w:hAnsi="Times New Roman" w:cs="Times New Roman"/>
          <w:sz w:val="24"/>
          <w:szCs w:val="24"/>
        </w:rPr>
        <w:t>Strutturalmente è stato realizzato con una struttura portante in calcestruzzo</w:t>
      </w:r>
      <w:r>
        <w:rPr>
          <w:rFonts w:ascii="Times New Roman" w:hAnsi="Times New Roman" w:cs="Times New Roman"/>
          <w:sz w:val="24"/>
          <w:szCs w:val="24"/>
        </w:rPr>
        <w:t xml:space="preserve"> </w:t>
      </w:r>
      <w:r w:rsidRPr="002C7A2F">
        <w:rPr>
          <w:rFonts w:ascii="Times New Roman" w:hAnsi="Times New Roman" w:cs="Times New Roman"/>
          <w:sz w:val="24"/>
          <w:szCs w:val="24"/>
        </w:rPr>
        <w:t>armato e solaio tipo a piastra.</w:t>
      </w:r>
    </w:p>
    <w:p w14:paraId="1912F6C7" w14:textId="77777777" w:rsidR="005B1DF5" w:rsidRPr="009E5053" w:rsidRDefault="005B1DF5" w:rsidP="005B1DF5">
      <w:pPr>
        <w:autoSpaceDE w:val="0"/>
        <w:autoSpaceDN w:val="0"/>
        <w:adjustRightInd w:val="0"/>
        <w:jc w:val="both"/>
        <w:rPr>
          <w:rFonts w:ascii="Times New Roman" w:hAnsi="Times New Roman" w:cs="Times New Roman"/>
          <w:sz w:val="24"/>
          <w:szCs w:val="24"/>
        </w:rPr>
      </w:pPr>
    </w:p>
    <w:p w14:paraId="0791FB86" w14:textId="7B9EF438" w:rsidR="005B1DF5" w:rsidRPr="009E5053"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DESCRIZIONE INTERNA </w:t>
      </w:r>
    </w:p>
    <w:p w14:paraId="1F80F228" w14:textId="5B9674F7" w:rsidR="007F0A29" w:rsidRDefault="007F0A29" w:rsidP="007F0A2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I </w:t>
      </w:r>
      <w:r w:rsidRPr="007F0A29">
        <w:rPr>
          <w:rFonts w:ascii="Times New Roman" w:hAnsi="Times New Roman" w:cs="Times New Roman"/>
          <w:sz w:val="24"/>
          <w:szCs w:val="24"/>
        </w:rPr>
        <w:t>beni bene oggetto di stima si trovano al piano interrato ed al piano terra della</w:t>
      </w:r>
      <w:r>
        <w:rPr>
          <w:rFonts w:ascii="Times New Roman" w:hAnsi="Times New Roman" w:cs="Times New Roman"/>
          <w:sz w:val="24"/>
          <w:szCs w:val="24"/>
        </w:rPr>
        <w:t xml:space="preserve"> </w:t>
      </w:r>
      <w:r w:rsidRPr="007F0A29">
        <w:rPr>
          <w:rFonts w:ascii="Times New Roman" w:hAnsi="Times New Roman" w:cs="Times New Roman"/>
          <w:sz w:val="24"/>
          <w:szCs w:val="24"/>
        </w:rPr>
        <w:t>P.ED. 2617.Il piazzale è raggiungibile dalla strada di altra proprietà, mentre il deposito</w:t>
      </w:r>
      <w:r>
        <w:rPr>
          <w:rFonts w:ascii="Times New Roman" w:hAnsi="Times New Roman" w:cs="Times New Roman"/>
          <w:sz w:val="24"/>
          <w:szCs w:val="24"/>
        </w:rPr>
        <w:t xml:space="preserve"> </w:t>
      </w:r>
      <w:r w:rsidRPr="007F0A29">
        <w:rPr>
          <w:rFonts w:ascii="Times New Roman" w:hAnsi="Times New Roman" w:cs="Times New Roman"/>
          <w:sz w:val="24"/>
          <w:szCs w:val="24"/>
        </w:rPr>
        <w:t>interrato è raggiungibile dalla rampa d’accesso esterna ad uso esclusivo</w:t>
      </w:r>
      <w:r>
        <w:rPr>
          <w:rFonts w:ascii="Times New Roman" w:hAnsi="Times New Roman" w:cs="Times New Roman"/>
          <w:sz w:val="24"/>
          <w:szCs w:val="24"/>
        </w:rPr>
        <w:t>.</w:t>
      </w:r>
      <w:r w:rsidRPr="007F0A29">
        <w:rPr>
          <w:rFonts w:ascii="Times New Roman" w:eastAsiaTheme="minorHAnsi" w:hAnsi="Times New Roman" w:cs="Times New Roman"/>
          <w:sz w:val="24"/>
          <w:szCs w:val="24"/>
          <w:lang w:eastAsia="en-US"/>
          <w14:ligatures w14:val="standardContextual"/>
        </w:rPr>
        <w:t xml:space="preserve"> </w:t>
      </w:r>
      <w:r w:rsidRPr="007F0A29">
        <w:rPr>
          <w:rFonts w:ascii="Times New Roman" w:hAnsi="Times New Roman" w:cs="Times New Roman"/>
          <w:sz w:val="24"/>
          <w:szCs w:val="24"/>
        </w:rPr>
        <w:t>Al momento del sopralluogo troviamo un deposito di circa 167 mq. un altro</w:t>
      </w:r>
      <w:r>
        <w:rPr>
          <w:rFonts w:ascii="Times New Roman" w:hAnsi="Times New Roman" w:cs="Times New Roman"/>
          <w:sz w:val="24"/>
          <w:szCs w:val="24"/>
        </w:rPr>
        <w:t xml:space="preserve"> </w:t>
      </w:r>
      <w:r w:rsidRPr="007F0A29">
        <w:rPr>
          <w:rFonts w:ascii="Times New Roman" w:hAnsi="Times New Roman" w:cs="Times New Roman"/>
          <w:sz w:val="24"/>
          <w:szCs w:val="24"/>
        </w:rPr>
        <w:t>deposito di circa 16 mq e un piazzale di circa 200 mq al cui interno sarà possibile</w:t>
      </w:r>
      <w:r>
        <w:rPr>
          <w:rFonts w:ascii="Times New Roman" w:hAnsi="Times New Roman" w:cs="Times New Roman"/>
          <w:sz w:val="24"/>
          <w:szCs w:val="24"/>
        </w:rPr>
        <w:t xml:space="preserve"> </w:t>
      </w:r>
      <w:r w:rsidRPr="007F0A29">
        <w:rPr>
          <w:rFonts w:ascii="Times New Roman" w:hAnsi="Times New Roman" w:cs="Times New Roman"/>
          <w:sz w:val="24"/>
          <w:szCs w:val="24"/>
        </w:rPr>
        <w:t>parcheggiare quattro veicoli</w:t>
      </w:r>
    </w:p>
    <w:p w14:paraId="39618E64" w14:textId="77777777" w:rsidR="007F0A29" w:rsidRDefault="007F0A29" w:rsidP="007F0A29">
      <w:pPr>
        <w:autoSpaceDE w:val="0"/>
        <w:autoSpaceDN w:val="0"/>
        <w:adjustRightInd w:val="0"/>
        <w:jc w:val="both"/>
        <w:rPr>
          <w:rFonts w:ascii="Times New Roman" w:hAnsi="Times New Roman" w:cs="Times New Roman"/>
          <w:sz w:val="24"/>
          <w:szCs w:val="24"/>
        </w:rPr>
      </w:pPr>
    </w:p>
    <w:p w14:paraId="2A85F065" w14:textId="77777777"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Ai fini della stima l’immobile assume la seguente consistenza (SEL):</w:t>
      </w:r>
    </w:p>
    <w:p w14:paraId="6F641EAB" w14:textId="77777777"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PIAZZALE = 200 mq commerciali.</w:t>
      </w:r>
    </w:p>
    <w:p w14:paraId="6EF96700" w14:textId="77777777"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DEPOSITI = 225 mq commerciali.</w:t>
      </w:r>
    </w:p>
    <w:p w14:paraId="70F165F4" w14:textId="77777777"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Superficie utile netta (SUN):</w:t>
      </w:r>
    </w:p>
    <w:p w14:paraId="77E144B0" w14:textId="77777777"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PIAZZALE = 180 mq.</w:t>
      </w:r>
    </w:p>
    <w:p w14:paraId="2F34E358" w14:textId="1815084E" w:rsidR="005B1DF5"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DEPOSITI = 183 mq.</w:t>
      </w:r>
    </w:p>
    <w:p w14:paraId="0003B6FF" w14:textId="77777777" w:rsidR="007F0A29" w:rsidRDefault="007F0A29" w:rsidP="007F0A29">
      <w:pPr>
        <w:autoSpaceDE w:val="0"/>
        <w:autoSpaceDN w:val="0"/>
        <w:adjustRightInd w:val="0"/>
        <w:jc w:val="both"/>
        <w:rPr>
          <w:rFonts w:ascii="Times New Roman" w:hAnsi="Times New Roman" w:cs="Times New Roman"/>
          <w:sz w:val="24"/>
          <w:szCs w:val="24"/>
        </w:rPr>
      </w:pPr>
    </w:p>
    <w:p w14:paraId="01C4EABA" w14:textId="2DC6659C" w:rsidR="005B1DF5" w:rsidRPr="009E5053"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CONFORMITÀ URBANISTICA </w:t>
      </w:r>
    </w:p>
    <w:p w14:paraId="651515BA" w14:textId="5B3BACC3"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Dal raffronto tra lo stato di fatto e gli atti autorizzativi presenti presso il Comune</w:t>
      </w:r>
      <w:r>
        <w:rPr>
          <w:rFonts w:ascii="Times New Roman" w:hAnsi="Times New Roman" w:cs="Times New Roman"/>
          <w:sz w:val="24"/>
          <w:szCs w:val="24"/>
        </w:rPr>
        <w:t xml:space="preserve"> </w:t>
      </w:r>
      <w:r w:rsidRPr="007F0A29">
        <w:rPr>
          <w:rFonts w:ascii="Times New Roman" w:hAnsi="Times New Roman" w:cs="Times New Roman"/>
          <w:sz w:val="24"/>
          <w:szCs w:val="24"/>
        </w:rPr>
        <w:t>di Borgo Valsugana si sono riscontrate delle difformità; per sanare il tutto sarà</w:t>
      </w:r>
      <w:r>
        <w:rPr>
          <w:rFonts w:ascii="Times New Roman" w:hAnsi="Times New Roman" w:cs="Times New Roman"/>
          <w:sz w:val="24"/>
          <w:szCs w:val="24"/>
        </w:rPr>
        <w:t xml:space="preserve"> </w:t>
      </w:r>
      <w:r w:rsidRPr="007F0A29">
        <w:rPr>
          <w:rFonts w:ascii="Times New Roman" w:hAnsi="Times New Roman" w:cs="Times New Roman"/>
          <w:sz w:val="24"/>
          <w:szCs w:val="24"/>
        </w:rPr>
        <w:t>necessario redigere una sanatoria.</w:t>
      </w:r>
    </w:p>
    <w:p w14:paraId="364C9182" w14:textId="658B8E75"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Da verificare la possibilità di realizzare tutti i posti auto riportati in progetto, dato</w:t>
      </w:r>
      <w:r>
        <w:rPr>
          <w:rFonts w:ascii="Times New Roman" w:hAnsi="Times New Roman" w:cs="Times New Roman"/>
          <w:sz w:val="24"/>
          <w:szCs w:val="24"/>
        </w:rPr>
        <w:t xml:space="preserve"> </w:t>
      </w:r>
      <w:r w:rsidRPr="007F0A29">
        <w:rPr>
          <w:rFonts w:ascii="Times New Roman" w:hAnsi="Times New Roman" w:cs="Times New Roman"/>
          <w:sz w:val="24"/>
          <w:szCs w:val="24"/>
        </w:rPr>
        <w:t>che ad oggi le dimensioni minime sono diverse da quelle all’epoca della</w:t>
      </w:r>
      <w:r>
        <w:rPr>
          <w:rFonts w:ascii="Times New Roman" w:hAnsi="Times New Roman" w:cs="Times New Roman"/>
          <w:sz w:val="24"/>
          <w:szCs w:val="24"/>
        </w:rPr>
        <w:t xml:space="preserve"> </w:t>
      </w:r>
      <w:r w:rsidRPr="007F0A29">
        <w:rPr>
          <w:rFonts w:ascii="Times New Roman" w:hAnsi="Times New Roman" w:cs="Times New Roman"/>
          <w:sz w:val="24"/>
          <w:szCs w:val="24"/>
        </w:rPr>
        <w:t>realizzazione.</w:t>
      </w:r>
      <w:r>
        <w:rPr>
          <w:rFonts w:ascii="Times New Roman" w:hAnsi="Times New Roman" w:cs="Times New Roman"/>
          <w:sz w:val="24"/>
          <w:szCs w:val="24"/>
        </w:rPr>
        <w:t xml:space="preserve"> </w:t>
      </w:r>
      <w:r w:rsidRPr="007F0A29">
        <w:rPr>
          <w:rFonts w:ascii="Times New Roman" w:hAnsi="Times New Roman" w:cs="Times New Roman"/>
          <w:sz w:val="24"/>
          <w:szCs w:val="24"/>
        </w:rPr>
        <w:t>In ogni caso da realizzare alcune opere per portare l’immobile conforme allo stato</w:t>
      </w:r>
      <w:r>
        <w:rPr>
          <w:rFonts w:ascii="Times New Roman" w:hAnsi="Times New Roman" w:cs="Times New Roman"/>
          <w:sz w:val="24"/>
          <w:szCs w:val="24"/>
        </w:rPr>
        <w:t xml:space="preserve"> </w:t>
      </w:r>
      <w:r w:rsidRPr="007F0A29">
        <w:rPr>
          <w:rFonts w:ascii="Times New Roman" w:hAnsi="Times New Roman" w:cs="Times New Roman"/>
          <w:sz w:val="24"/>
          <w:szCs w:val="24"/>
        </w:rPr>
        <w:t>autorizzato (murature interne a confine con gli altri edifici, intonaci, portone</w:t>
      </w:r>
      <w:r>
        <w:rPr>
          <w:rFonts w:ascii="Times New Roman" w:hAnsi="Times New Roman" w:cs="Times New Roman"/>
          <w:sz w:val="24"/>
          <w:szCs w:val="24"/>
        </w:rPr>
        <w:t xml:space="preserve"> </w:t>
      </w:r>
      <w:r w:rsidRPr="007F0A29">
        <w:rPr>
          <w:rFonts w:ascii="Times New Roman" w:hAnsi="Times New Roman" w:cs="Times New Roman"/>
          <w:sz w:val="24"/>
          <w:szCs w:val="24"/>
        </w:rPr>
        <w:t>d’accesso, parapetti piano terra livellamento generale piazzale, ecc.).</w:t>
      </w:r>
    </w:p>
    <w:p w14:paraId="70E12A9E" w14:textId="56B372CC" w:rsidR="005B1DF5" w:rsidRPr="009E5053" w:rsidRDefault="007F0A29" w:rsidP="005B1DF5">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Nello specifico tutta la pavimentazione e le murature a confine con la P.ED. 2519</w:t>
      </w:r>
      <w:r>
        <w:rPr>
          <w:rFonts w:ascii="Times New Roman" w:hAnsi="Times New Roman" w:cs="Times New Roman"/>
          <w:sz w:val="24"/>
          <w:szCs w:val="24"/>
        </w:rPr>
        <w:t xml:space="preserve"> </w:t>
      </w:r>
      <w:r w:rsidRPr="007F0A29">
        <w:rPr>
          <w:rFonts w:ascii="Times New Roman" w:hAnsi="Times New Roman" w:cs="Times New Roman"/>
          <w:sz w:val="24"/>
          <w:szCs w:val="24"/>
        </w:rPr>
        <w:t>e la P.ED. 2589.</w:t>
      </w:r>
      <w:r w:rsidR="006920C9">
        <w:rPr>
          <w:rFonts w:ascii="Times New Roman" w:hAnsi="Times New Roman" w:cs="Times New Roman"/>
          <w:sz w:val="24"/>
          <w:szCs w:val="24"/>
        </w:rPr>
        <w:t xml:space="preserve"> </w:t>
      </w:r>
    </w:p>
    <w:p w14:paraId="70CDB4A1" w14:textId="77777777" w:rsidR="005B1DF5"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       </w:t>
      </w:r>
    </w:p>
    <w:p w14:paraId="518ED5F0" w14:textId="674F408B" w:rsidR="002040B1"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CONFORMITÀ CATASTALE </w:t>
      </w:r>
    </w:p>
    <w:p w14:paraId="6D27DEE7" w14:textId="77777777"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Si precisa come tutti calcoli esposti nella stesura della valutazione siano propedeutici alla</w:t>
      </w:r>
    </w:p>
    <w:p w14:paraId="2D9F3210" w14:textId="77777777"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lastRenderedPageBreak/>
        <w:t>definizione del valore di stima che sarà utile per la definizione del prezzo a base d'asta, ma che gli</w:t>
      </w:r>
    </w:p>
    <w:p w14:paraId="4F506A40" w14:textId="77777777"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stessi non sono da ritenersi vincolanti in quanto il futuro aggiudicatario acquisterà l'immobile a</w:t>
      </w:r>
    </w:p>
    <w:p w14:paraId="5B08FC4E" w14:textId="77777777"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corpo e non a misura nello stato di fatto a lui conosciuto sia attraverso il rapporto di valutazione, ma</w:t>
      </w:r>
    </w:p>
    <w:p w14:paraId="02C41B20" w14:textId="77777777" w:rsidR="007F0A29" w:rsidRPr="007F0A29" w:rsidRDefault="007F0A29" w:rsidP="007F0A29">
      <w:pPr>
        <w:autoSpaceDE w:val="0"/>
        <w:autoSpaceDN w:val="0"/>
        <w:adjustRightInd w:val="0"/>
        <w:jc w:val="both"/>
        <w:rPr>
          <w:rFonts w:ascii="Times New Roman" w:hAnsi="Times New Roman" w:cs="Times New Roman"/>
          <w:sz w:val="24"/>
          <w:szCs w:val="24"/>
        </w:rPr>
      </w:pPr>
      <w:r w:rsidRPr="007F0A29">
        <w:rPr>
          <w:rFonts w:ascii="Times New Roman" w:hAnsi="Times New Roman" w:cs="Times New Roman"/>
          <w:sz w:val="24"/>
          <w:szCs w:val="24"/>
        </w:rPr>
        <w:t>soprattutto a seguito di sopralluogo da eseguirsi prima dell'offerta d'acquisto.</w:t>
      </w:r>
    </w:p>
    <w:p w14:paraId="3851457C" w14:textId="77777777" w:rsidR="007F0A29" w:rsidRPr="007F0A29" w:rsidRDefault="007F0A29" w:rsidP="007F0A29">
      <w:pPr>
        <w:autoSpaceDE w:val="0"/>
        <w:autoSpaceDN w:val="0"/>
        <w:adjustRightInd w:val="0"/>
        <w:jc w:val="both"/>
        <w:rPr>
          <w:rFonts w:ascii="Times New Roman" w:hAnsi="Times New Roman" w:cs="Times New Roman"/>
          <w:b/>
          <w:bCs/>
          <w:sz w:val="24"/>
          <w:szCs w:val="24"/>
        </w:rPr>
      </w:pPr>
      <w:r w:rsidRPr="007F0A29">
        <w:rPr>
          <w:rFonts w:ascii="Times New Roman" w:hAnsi="Times New Roman" w:cs="Times New Roman"/>
          <w:b/>
          <w:bCs/>
          <w:sz w:val="24"/>
          <w:szCs w:val="24"/>
        </w:rPr>
        <w:t>Il più probabile valore di mercato specifico, alle condizioni attuali, della P.M. 1 e della P.M. 2</w:t>
      </w:r>
    </w:p>
    <w:p w14:paraId="14608317" w14:textId="6E618FCC" w:rsidR="007F0A29" w:rsidRPr="007F0A29" w:rsidRDefault="007F0A29" w:rsidP="007F0A29">
      <w:pPr>
        <w:autoSpaceDE w:val="0"/>
        <w:autoSpaceDN w:val="0"/>
        <w:adjustRightInd w:val="0"/>
        <w:jc w:val="both"/>
        <w:rPr>
          <w:rFonts w:ascii="Times New Roman" w:hAnsi="Times New Roman" w:cs="Times New Roman"/>
          <w:b/>
          <w:bCs/>
          <w:sz w:val="24"/>
          <w:szCs w:val="24"/>
        </w:rPr>
      </w:pPr>
      <w:r w:rsidRPr="007F0A29">
        <w:rPr>
          <w:rFonts w:ascii="Times New Roman" w:hAnsi="Times New Roman" w:cs="Times New Roman"/>
          <w:b/>
          <w:bCs/>
          <w:sz w:val="24"/>
          <w:szCs w:val="24"/>
        </w:rPr>
        <w:t xml:space="preserve">della P.ED. 2617 del Comune Catastale di Borgo Valsugana, </w:t>
      </w:r>
      <w:proofErr w:type="spellStart"/>
      <w:r w:rsidRPr="007F0A29">
        <w:rPr>
          <w:rFonts w:ascii="Times New Roman" w:hAnsi="Times New Roman" w:cs="Times New Roman"/>
          <w:b/>
          <w:bCs/>
          <w:sz w:val="24"/>
          <w:szCs w:val="24"/>
        </w:rPr>
        <w:t>sitE</w:t>
      </w:r>
      <w:proofErr w:type="spellEnd"/>
      <w:r w:rsidRPr="007F0A29">
        <w:rPr>
          <w:rFonts w:ascii="Times New Roman" w:hAnsi="Times New Roman" w:cs="Times New Roman"/>
          <w:b/>
          <w:bCs/>
          <w:sz w:val="24"/>
          <w:szCs w:val="24"/>
        </w:rPr>
        <w:t xml:space="preserve"> in Via Sotto Samonte, che</w:t>
      </w:r>
      <w:r>
        <w:rPr>
          <w:rFonts w:ascii="Times New Roman" w:hAnsi="Times New Roman" w:cs="Times New Roman"/>
          <w:b/>
          <w:bCs/>
          <w:sz w:val="24"/>
          <w:szCs w:val="24"/>
        </w:rPr>
        <w:t xml:space="preserve"> </w:t>
      </w:r>
      <w:r w:rsidRPr="007F0A29">
        <w:rPr>
          <w:rFonts w:ascii="Times New Roman" w:hAnsi="Times New Roman" w:cs="Times New Roman"/>
          <w:b/>
          <w:bCs/>
          <w:sz w:val="24"/>
          <w:szCs w:val="24"/>
        </w:rPr>
        <w:t>individuano due depositi interrati della superficie utile di circa 183 mq ed un piazzale</w:t>
      </w:r>
      <w:r>
        <w:rPr>
          <w:rFonts w:ascii="Times New Roman" w:hAnsi="Times New Roman" w:cs="Times New Roman"/>
          <w:b/>
          <w:bCs/>
          <w:sz w:val="24"/>
          <w:szCs w:val="24"/>
        </w:rPr>
        <w:t xml:space="preserve"> </w:t>
      </w:r>
      <w:r w:rsidRPr="007F0A29">
        <w:rPr>
          <w:rFonts w:ascii="Times New Roman" w:hAnsi="Times New Roman" w:cs="Times New Roman"/>
          <w:b/>
          <w:bCs/>
          <w:sz w:val="24"/>
          <w:szCs w:val="24"/>
        </w:rPr>
        <w:t>soprastante destinato a parcheggio, è valutato complessivamente in:</w:t>
      </w:r>
    </w:p>
    <w:p w14:paraId="384643CC" w14:textId="3DC75D97" w:rsidR="005B1DF5" w:rsidRPr="009E5053" w:rsidRDefault="007F0A29" w:rsidP="007F0A29">
      <w:pPr>
        <w:autoSpaceDE w:val="0"/>
        <w:autoSpaceDN w:val="0"/>
        <w:adjustRightInd w:val="0"/>
        <w:jc w:val="both"/>
        <w:rPr>
          <w:rFonts w:ascii="Times New Roman" w:hAnsi="Times New Roman" w:cs="Times New Roman"/>
          <w:b/>
          <w:bCs/>
          <w:sz w:val="24"/>
          <w:szCs w:val="24"/>
        </w:rPr>
      </w:pPr>
      <w:r w:rsidRPr="007F0A29">
        <w:rPr>
          <w:rFonts w:ascii="Times New Roman" w:hAnsi="Times New Roman" w:cs="Times New Roman"/>
          <w:b/>
          <w:bCs/>
          <w:sz w:val="24"/>
          <w:szCs w:val="24"/>
        </w:rPr>
        <w:t>VALORE COMPLESSIVO A: € 50.000,00</w:t>
      </w:r>
      <w:r>
        <w:rPr>
          <w:rFonts w:ascii="Times New Roman" w:hAnsi="Times New Roman" w:cs="Times New Roman"/>
          <w:b/>
          <w:bCs/>
          <w:sz w:val="24"/>
          <w:szCs w:val="24"/>
        </w:rPr>
        <w:t xml:space="preserve"> </w:t>
      </w:r>
      <w:r w:rsidRPr="007F0A29">
        <w:rPr>
          <w:rFonts w:ascii="Times New Roman" w:hAnsi="Times New Roman" w:cs="Times New Roman"/>
          <w:b/>
          <w:bCs/>
          <w:sz w:val="24"/>
          <w:szCs w:val="24"/>
        </w:rPr>
        <w:t>(Euro cinquantamila</w:t>
      </w:r>
      <w:r w:rsidR="00D15F0C">
        <w:rPr>
          <w:rFonts w:ascii="Times New Roman" w:hAnsi="Times New Roman" w:cs="Times New Roman"/>
          <w:b/>
          <w:bCs/>
          <w:sz w:val="24"/>
          <w:szCs w:val="24"/>
        </w:rPr>
        <w:t>/00</w:t>
      </w:r>
      <w:r>
        <w:rPr>
          <w:rFonts w:ascii="Times New Roman" w:hAnsi="Times New Roman" w:cs="Times New Roman"/>
          <w:b/>
          <w:bCs/>
          <w:sz w:val="24"/>
          <w:szCs w:val="24"/>
        </w:rPr>
        <w:t>)</w:t>
      </w:r>
    </w:p>
    <w:p w14:paraId="073E4A30" w14:textId="77777777" w:rsidR="002040B1" w:rsidRDefault="002040B1" w:rsidP="005B1DF5">
      <w:pPr>
        <w:widowControl w:val="0"/>
        <w:pBdr>
          <w:top w:val="nil"/>
          <w:left w:val="nil"/>
          <w:bottom w:val="nil"/>
          <w:right w:val="nil"/>
          <w:between w:val="nil"/>
        </w:pBdr>
        <w:ind w:right="754"/>
        <w:jc w:val="both"/>
        <w:rPr>
          <w:rFonts w:ascii="Times New Roman" w:eastAsia="Times New Roman" w:hAnsi="Times New Roman" w:cs="Times New Roman"/>
          <w:b/>
          <w:bCs/>
          <w:color w:val="000000"/>
          <w:sz w:val="24"/>
          <w:szCs w:val="24"/>
        </w:rPr>
      </w:pPr>
    </w:p>
    <w:p w14:paraId="1063FF47" w14:textId="77777777" w:rsidR="002040B1" w:rsidRDefault="002040B1" w:rsidP="005B1DF5">
      <w:pPr>
        <w:widowControl w:val="0"/>
        <w:pBdr>
          <w:top w:val="nil"/>
          <w:left w:val="nil"/>
          <w:bottom w:val="nil"/>
          <w:right w:val="nil"/>
          <w:between w:val="nil"/>
        </w:pBdr>
        <w:ind w:right="754"/>
        <w:jc w:val="both"/>
        <w:rPr>
          <w:rFonts w:ascii="Times New Roman" w:eastAsia="Times New Roman" w:hAnsi="Times New Roman" w:cs="Times New Roman"/>
          <w:b/>
          <w:bCs/>
          <w:color w:val="000000"/>
          <w:sz w:val="24"/>
          <w:szCs w:val="24"/>
        </w:rPr>
      </w:pPr>
    </w:p>
    <w:p w14:paraId="7731B5D6" w14:textId="5B2CC731" w:rsidR="005B1DF5" w:rsidRPr="002040B1" w:rsidRDefault="005B1DF5" w:rsidP="002040B1">
      <w:pPr>
        <w:widowControl w:val="0"/>
        <w:pBdr>
          <w:top w:val="nil"/>
          <w:left w:val="nil"/>
          <w:bottom w:val="nil"/>
          <w:right w:val="nil"/>
          <w:between w:val="nil"/>
        </w:pBdr>
        <w:ind w:right="754"/>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Disponibilità del bene</w:t>
      </w:r>
      <w:r w:rsidRPr="009E5053">
        <w:rPr>
          <w:rFonts w:ascii="Times New Roman" w:eastAsia="Times New Roman" w:hAnsi="Times New Roman" w:cs="Times New Roman"/>
          <w:color w:val="000000"/>
          <w:sz w:val="24"/>
          <w:szCs w:val="24"/>
        </w:rPr>
        <w:t>: Il bene risulta essere libero.</w:t>
      </w:r>
    </w:p>
    <w:p w14:paraId="6E4FE797" w14:textId="1C2BF154" w:rsidR="005B1DF5" w:rsidRDefault="005B1DF5" w:rsidP="005B1DF5">
      <w:pPr>
        <w:widowControl w:val="0"/>
        <w:pBdr>
          <w:top w:val="nil"/>
          <w:left w:val="nil"/>
          <w:bottom w:val="nil"/>
          <w:right w:val="nil"/>
          <w:between w:val="nil"/>
        </w:pBdr>
        <w:ind w:left="482" w:right="754" w:hanging="482"/>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Prezzo base: Euro </w:t>
      </w:r>
      <w:r w:rsidR="007F0A29">
        <w:rPr>
          <w:rFonts w:ascii="Times New Roman" w:eastAsia="Times New Roman" w:hAnsi="Times New Roman" w:cs="Times New Roman"/>
          <w:b/>
          <w:bCs/>
          <w:color w:val="000000"/>
          <w:sz w:val="24"/>
          <w:szCs w:val="24"/>
        </w:rPr>
        <w:t>50</w:t>
      </w:r>
      <w:r w:rsidRPr="009E5053">
        <w:rPr>
          <w:rFonts w:ascii="Times New Roman" w:eastAsia="Times New Roman" w:hAnsi="Times New Roman" w:cs="Times New Roman"/>
          <w:b/>
          <w:bCs/>
          <w:color w:val="000000"/>
          <w:sz w:val="24"/>
          <w:szCs w:val="24"/>
        </w:rPr>
        <w:t xml:space="preserve">.000,00 </w:t>
      </w:r>
    </w:p>
    <w:p w14:paraId="4B745242" w14:textId="23E6F4F4" w:rsidR="005B1DF5" w:rsidRPr="005B1DF5" w:rsidRDefault="005B1DF5" w:rsidP="005B1DF5">
      <w:pPr>
        <w:widowControl w:val="0"/>
        <w:pBdr>
          <w:top w:val="nil"/>
          <w:left w:val="nil"/>
          <w:bottom w:val="nil"/>
          <w:right w:val="nil"/>
          <w:between w:val="nil"/>
        </w:pBdr>
        <w:ind w:left="482" w:right="754" w:hanging="482"/>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Cauzione: </w:t>
      </w:r>
      <w:r w:rsidRPr="009E5053">
        <w:rPr>
          <w:rFonts w:ascii="Times New Roman" w:eastAsia="Times New Roman" w:hAnsi="Times New Roman" w:cs="Times New Roman"/>
          <w:color w:val="000000"/>
          <w:sz w:val="24"/>
          <w:szCs w:val="24"/>
        </w:rPr>
        <w:t>pari al 10% del prezzo offerto</w:t>
      </w:r>
      <w:r w:rsidRPr="009E5053">
        <w:rPr>
          <w:rFonts w:ascii="Times New Roman" w:eastAsia="Times New Roman" w:hAnsi="Times New Roman" w:cs="Times New Roman"/>
          <w:b/>
          <w:bCs/>
          <w:color w:val="000000"/>
          <w:sz w:val="24"/>
          <w:szCs w:val="24"/>
        </w:rPr>
        <w:t xml:space="preserve">. </w:t>
      </w:r>
    </w:p>
    <w:p w14:paraId="48849DFF" w14:textId="77777777" w:rsidR="005B1DF5"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Diritti d’asta: </w:t>
      </w:r>
      <w:r w:rsidRPr="009E5053">
        <w:rPr>
          <w:rFonts w:ascii="Times New Roman" w:eastAsia="Times New Roman" w:hAnsi="Times New Roman" w:cs="Times New Roman"/>
          <w:color w:val="000000"/>
          <w:sz w:val="24"/>
          <w:szCs w:val="24"/>
        </w:rPr>
        <w:t xml:space="preserve">pari al 5% del prezzo offerto </w:t>
      </w:r>
    </w:p>
    <w:p w14:paraId="22AE0852" w14:textId="5522F9C2" w:rsidR="005B1DF5"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Rilancio minimo di gara: Euro </w:t>
      </w:r>
      <w:r w:rsidR="003729D0">
        <w:rPr>
          <w:rFonts w:ascii="Times New Roman" w:eastAsia="Times New Roman" w:hAnsi="Times New Roman" w:cs="Times New Roman"/>
          <w:b/>
          <w:bCs/>
          <w:color w:val="000000"/>
          <w:sz w:val="24"/>
          <w:szCs w:val="24"/>
        </w:rPr>
        <w:t>2.500</w:t>
      </w:r>
      <w:r w:rsidRPr="009E5053">
        <w:rPr>
          <w:rFonts w:ascii="Times New Roman" w:eastAsia="Times New Roman" w:hAnsi="Times New Roman" w:cs="Times New Roman"/>
          <w:b/>
          <w:bCs/>
          <w:color w:val="000000"/>
          <w:sz w:val="24"/>
          <w:szCs w:val="24"/>
        </w:rPr>
        <w:t xml:space="preserve">,00  </w:t>
      </w:r>
    </w:p>
    <w:p w14:paraId="7180FC87" w14:textId="77777777" w:rsidR="005B1DF5" w:rsidRDefault="005B1DF5" w:rsidP="00240ECC">
      <w:pPr>
        <w:widowControl w:val="0"/>
        <w:pBdr>
          <w:top w:val="nil"/>
          <w:left w:val="nil"/>
          <w:bottom w:val="nil"/>
          <w:right w:val="nil"/>
          <w:between w:val="nil"/>
        </w:pBdr>
        <w:jc w:val="both"/>
        <w:rPr>
          <w:rFonts w:ascii="Times New Roman" w:eastAsia="Times New Roman" w:hAnsi="Times New Roman" w:cs="Times New Roman"/>
          <w:b/>
          <w:bCs/>
          <w:color w:val="000000"/>
          <w:sz w:val="25"/>
          <w:szCs w:val="25"/>
        </w:rPr>
      </w:pPr>
    </w:p>
    <w:p w14:paraId="1BF67FDA" w14:textId="596B771F" w:rsidR="00240ECC" w:rsidRPr="00240ECC" w:rsidRDefault="00240ECC" w:rsidP="00240ECC">
      <w:pPr>
        <w:widowControl w:val="0"/>
        <w:pBdr>
          <w:top w:val="nil"/>
          <w:left w:val="nil"/>
          <w:bottom w:val="nil"/>
          <w:right w:val="nil"/>
          <w:between w:val="nil"/>
        </w:pBdr>
        <w:jc w:val="center"/>
        <w:rPr>
          <w:rFonts w:ascii="Times New Roman" w:eastAsia="Times New Roman" w:hAnsi="Times New Roman" w:cs="Times New Roman"/>
          <w:b/>
          <w:bCs/>
          <w:color w:val="000000"/>
          <w:sz w:val="25"/>
          <w:szCs w:val="25"/>
        </w:rPr>
      </w:pPr>
      <w:r>
        <w:rPr>
          <w:rFonts w:ascii="Times New Roman" w:eastAsia="Times New Roman" w:hAnsi="Times New Roman" w:cs="Times New Roman"/>
          <w:b/>
          <w:bCs/>
          <w:color w:val="000000"/>
          <w:sz w:val="24"/>
          <w:szCs w:val="24"/>
        </w:rPr>
        <w:t>DETERMINA</w:t>
      </w:r>
    </w:p>
    <w:p w14:paraId="5A938AA9" w14:textId="77777777" w:rsidR="00240ECC" w:rsidRDefault="00240ECC" w:rsidP="00240ECC">
      <w:pPr>
        <w:widowControl w:val="0"/>
        <w:pBdr>
          <w:top w:val="nil"/>
          <w:left w:val="nil"/>
          <w:bottom w:val="nil"/>
          <w:right w:val="nil"/>
          <w:between w:val="nil"/>
        </w:pBdr>
        <w:spacing w:before="271"/>
        <w:ind w:right="3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seguito le modalità di svolgimento della procedura competitiva e le principali condizioni di vendita. </w:t>
      </w:r>
    </w:p>
    <w:p w14:paraId="37659EA1" w14:textId="77777777" w:rsidR="00240ECC" w:rsidRDefault="00240ECC" w:rsidP="00240ECC">
      <w:pPr>
        <w:widowControl w:val="0"/>
        <w:pBdr>
          <w:top w:val="nil"/>
          <w:left w:val="nil"/>
          <w:bottom w:val="nil"/>
          <w:right w:val="nil"/>
          <w:between w:val="nil"/>
        </w:pBdr>
        <w:spacing w:before="27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 Contenuto dell’offerta ed allegati </w:t>
      </w:r>
    </w:p>
    <w:p w14:paraId="508355C3" w14:textId="77777777" w:rsidR="00240ECC" w:rsidRDefault="00240ECC" w:rsidP="00240ECC">
      <w:pPr>
        <w:widowControl w:val="0"/>
        <w:pBdr>
          <w:top w:val="nil"/>
          <w:left w:val="nil"/>
          <w:bottom w:val="nil"/>
          <w:right w:val="nil"/>
          <w:between w:val="nil"/>
        </w:pBdr>
        <w:ind w:right="2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partecipare alla procedura competitiva di vendita ciascun interessato dovrà depositare un’offerta di acquisto per il lotto unico, come meglio sopra individuato, che intende acquistare ad un prezzo non inferiore al prezzo base di vendita. </w:t>
      </w:r>
    </w:p>
    <w:p w14:paraId="7C3BEFC2" w14:textId="77777777" w:rsid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si svolgerà nella modalità sincrona mista così come definita dall’art. 2 del DM 32/2015 che prevede che i rilanci possono essere formulati sia in modalità cartacea che in modalità telematica. L’offerta di acquisto può essere presentata: </w:t>
      </w:r>
    </w:p>
    <w:p w14:paraId="4706039F" w14:textId="77777777" w:rsid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 modalità telematica, previo accesso al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selezione del bene di interesse e, tramite il comando “Iscriviti alla vendita”, compilazione del modulo ministeriale di “presentazione offerta. Il “Manuale utente per la presentazione dell’Offerta Telematica” indicante tutti i passaggi necessari per completare la procedura di presentazione dell’offerta in modalità telematica è disponibile nel sito ufficiale del Ministero al seguente indirizzo: https://pst.giustizia.it/PST/resources/cms/documents/ManualeUtenteOfferta06_08_2021.pdf; oppure </w:t>
      </w:r>
    </w:p>
    <w:p w14:paraId="103390A7" w14:textId="50361D11" w:rsidR="00240ECC" w:rsidRP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 modalità cartacea, come meglio descritto al punto 2 del presente avviso, presso </w:t>
      </w:r>
      <w:r>
        <w:rPr>
          <w:rFonts w:ascii="Times New Roman" w:eastAsia="Times New Roman" w:hAnsi="Times New Roman" w:cs="Times New Roman"/>
          <w:b/>
          <w:bCs/>
          <w:color w:val="000000"/>
          <w:sz w:val="24"/>
          <w:szCs w:val="24"/>
        </w:rPr>
        <w:t xml:space="preserve">IVGT S.r.l., in Trento, Via Fersina 12/A. </w:t>
      </w:r>
    </w:p>
    <w:p w14:paraId="25412040" w14:textId="77777777" w:rsidR="00240ECC" w:rsidRDefault="00240ECC" w:rsidP="00240ECC">
      <w:pPr>
        <w:widowControl w:val="0"/>
        <w:pBdr>
          <w:top w:val="nil"/>
          <w:left w:val="nil"/>
          <w:bottom w:val="nil"/>
          <w:right w:val="nil"/>
          <w:between w:val="nil"/>
        </w:pBdr>
        <w:spacing w:before="282"/>
        <w:ind w:right="242"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Gli offerenti telematici, ovvero che hanno formulato l’offerta con modalità telematiche, partecipano alle operazioni di vendita mediante la connessione al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Tra 120 e 180 minuti prima della gara le offerte verranno trasmesse al gestore della vendita. Gli ammessi alla gara riceveranno, 30 minuti prima dell’inizio delle operazioni di vendita, all’indirizzo PEC indicato nel modulo ministeriale di offerta, le credenziali per accedere alla vendita in oggetto. Un ulteriore invito a connettersi per partecipare alle operazioni di vendita verrà trasmesso a mezzo SMS al </w:t>
      </w:r>
      <w:r>
        <w:rPr>
          <w:rFonts w:ascii="Times New Roman" w:eastAsia="Times New Roman" w:hAnsi="Times New Roman" w:cs="Times New Roman"/>
          <w:color w:val="000000"/>
          <w:sz w:val="24"/>
          <w:szCs w:val="24"/>
        </w:rPr>
        <w:lastRenderedPageBreak/>
        <w:t xml:space="preserve">recapito di telefonia mobile fornito nell’offerta.  </w:t>
      </w:r>
    </w:p>
    <w:p w14:paraId="4E7EF8F6" w14:textId="77777777" w:rsidR="00240ECC" w:rsidRDefault="00240ECC" w:rsidP="00240ECC">
      <w:pPr>
        <w:widowControl w:val="0"/>
        <w:pBdr>
          <w:top w:val="nil"/>
          <w:left w:val="nil"/>
          <w:bottom w:val="nil"/>
          <w:right w:val="nil"/>
          <w:between w:val="nil"/>
        </w:pBdr>
        <w:spacing w:before="6"/>
        <w:ind w:right="246"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assistenza in merito alla presentazione delle offerte in modalità telematica si potrà contattare il numero 0444 346211 o scrivere all’indirizzo </w:t>
      </w:r>
      <w:r>
        <w:rPr>
          <w:rFonts w:ascii="Times New Roman" w:eastAsia="Times New Roman" w:hAnsi="Times New Roman" w:cs="Times New Roman"/>
          <w:color w:val="0563C1"/>
          <w:sz w:val="24"/>
          <w:szCs w:val="24"/>
          <w:u w:val="single"/>
        </w:rPr>
        <w:t>help@fallco.it.</w:t>
      </w:r>
    </w:p>
    <w:p w14:paraId="7821DAAB" w14:textId="77777777" w:rsidR="00240ECC" w:rsidRDefault="00240ECC" w:rsidP="00240ECC">
      <w:pPr>
        <w:widowControl w:val="0"/>
        <w:pBdr>
          <w:top w:val="nil"/>
          <w:left w:val="nil"/>
          <w:bottom w:val="nil"/>
          <w:right w:val="nil"/>
          <w:between w:val="nil"/>
        </w:pBdr>
        <w:ind w:right="246"/>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Il Commissionario potrà inviare messaggi a tutti i partecipanti, ovvero solo ad alcuni di questi, per avvisarli circa la tempistica di inizio della gara o per altre comunicazioni. I messaggi saranno visualizzati dai partecipanti nella pagina della vendita</w:t>
      </w:r>
      <w:r>
        <w:rPr>
          <w:rFonts w:ascii="Times New Roman" w:eastAsia="Times New Roman" w:hAnsi="Times New Roman" w:cs="Times New Roman"/>
          <w:i/>
          <w:iCs/>
          <w:color w:val="000000"/>
          <w:sz w:val="24"/>
          <w:szCs w:val="24"/>
        </w:rPr>
        <w:t xml:space="preserve">. </w:t>
      </w:r>
    </w:p>
    <w:p w14:paraId="45CEC224" w14:textId="77777777" w:rsidR="00240ECC" w:rsidRDefault="00240ECC" w:rsidP="00240ECC">
      <w:pPr>
        <w:widowControl w:val="0"/>
        <w:pBdr>
          <w:top w:val="nil"/>
          <w:left w:val="nil"/>
          <w:bottom w:val="nil"/>
          <w:right w:val="nil"/>
          <w:between w:val="nil"/>
        </w:pBdr>
        <w:spacing w:before="5"/>
        <w:ind w:right="241"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avrà inizio al termine delle operazioni per l’esame delle offerte, salvo eventuali modifiche che verranno tempestivamente comunicate dal Commissionario al termine dell’apertura delle buste a tutti gli offerenti ammessi alla gara. </w:t>
      </w:r>
    </w:p>
    <w:p w14:paraId="5892EAF2" w14:textId="77777777" w:rsidR="00240ECC" w:rsidRDefault="00240ECC" w:rsidP="00240ECC">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L’offerta potrà contenere anche l’eventuale riserva di nomina di un terzo (artt. 571, 579 e 583 c.p.c.).  </w:t>
      </w:r>
    </w:p>
    <w:p w14:paraId="17D965DF" w14:textId="77777777" w:rsidR="00575CBE" w:rsidRDefault="00240ECC"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dichiarazione di nomina dovrà redigersi in forma di scrittura privata autenticata e, oltre che dall’offerente, dovrà essere sottoscritta anche dal terzo per accettazione della nomina stessa, sia delle condizioni di vendita di cui infra. La riserva dovrà essere sciolta e fatta pervenire al Professionista Delegato non oltre i tre giorni successivi all’aggiudicazione. Le previsioni relative al contenuto e agli allegati dell’offerta sono stabilite a pena d’invalidità della stessa e di esclusione dell’offerente dal successivo svolgimento della procedura competitiva. </w:t>
      </w:r>
    </w:p>
    <w:p w14:paraId="67DABCFA" w14:textId="77777777" w:rsidR="00575CBE" w:rsidRDefault="00575CBE"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p>
    <w:p w14:paraId="2D7D8647" w14:textId="0A25D14A" w:rsidR="00575CBE" w:rsidRPr="00575CBE" w:rsidRDefault="00575CBE"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2 - Termine e modalità di deposito dell’offerta e della cauzione </w:t>
      </w:r>
    </w:p>
    <w:p w14:paraId="43950F76" w14:textId="77777777" w:rsidR="00575CBE" w:rsidRDefault="00575CBE" w:rsidP="00575CBE">
      <w:pPr>
        <w:widowControl w:val="0"/>
        <w:pBdr>
          <w:top w:val="nil"/>
          <w:left w:val="nil"/>
          <w:bottom w:val="nil"/>
          <w:right w:val="nil"/>
          <w:between w:val="nil"/>
        </w:pBdr>
        <w:ind w:right="297"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dovrà versare anticipatamente, a titolo di cauzione, una somma pari almeno al </w:t>
      </w:r>
      <w:r>
        <w:rPr>
          <w:rFonts w:ascii="Times New Roman" w:eastAsia="Times New Roman" w:hAnsi="Times New Roman" w:cs="Times New Roman"/>
          <w:b/>
          <w:bCs/>
          <w:color w:val="000000"/>
          <w:sz w:val="24"/>
          <w:szCs w:val="24"/>
        </w:rPr>
        <w:t xml:space="preserve">dieci per cento (10%) del prezzo offerto, </w:t>
      </w:r>
      <w:r>
        <w:rPr>
          <w:rFonts w:ascii="Times New Roman" w:eastAsia="Times New Roman" w:hAnsi="Times New Roman" w:cs="Times New Roman"/>
          <w:color w:val="000000"/>
          <w:sz w:val="24"/>
          <w:szCs w:val="24"/>
        </w:rPr>
        <w:t xml:space="preserve">tramite: </w:t>
      </w:r>
    </w:p>
    <w:p w14:paraId="7474F90D" w14:textId="77777777" w:rsidR="00575CBE" w:rsidRDefault="00575CBE" w:rsidP="00575CBE">
      <w:pPr>
        <w:widowControl w:val="0"/>
        <w:pBdr>
          <w:top w:val="nil"/>
          <w:left w:val="nil"/>
          <w:bottom w:val="nil"/>
          <w:right w:val="nil"/>
          <w:between w:val="nil"/>
        </w:pBdr>
        <w:spacing w:before="6"/>
        <w:ind w:right="29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offerente telematico: bonifico bancario sul conto corrente </w:t>
      </w:r>
      <w:r>
        <w:rPr>
          <w:rFonts w:ascii="Times New Roman" w:eastAsia="Times New Roman" w:hAnsi="Times New Roman" w:cs="Times New Roman"/>
          <w:b/>
          <w:bCs/>
          <w:color w:val="000000"/>
          <w:sz w:val="24"/>
          <w:szCs w:val="24"/>
        </w:rPr>
        <w:t>IT 59 Y 03268 60160 052147600000</w:t>
      </w:r>
    </w:p>
    <w:p w14:paraId="487EE826" w14:textId="587AA767" w:rsidR="00575CBE" w:rsidRDefault="00575CBE" w:rsidP="00575CBE">
      <w:pPr>
        <w:widowControl w:val="0"/>
        <w:pBdr>
          <w:top w:val="nil"/>
          <w:left w:val="nil"/>
          <w:bottom w:val="nil"/>
          <w:right w:val="nil"/>
          <w:between w:val="nil"/>
        </w:pBdr>
        <w:spacing w:before="6"/>
        <w:ind w:right="29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BANCA SELLA </w:t>
      </w:r>
    </w:p>
    <w:p w14:paraId="479CE22E"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offerente cartaceo: tramite assegno circolare intestato </w:t>
      </w:r>
      <w:r>
        <w:rPr>
          <w:rFonts w:ascii="Times New Roman" w:eastAsia="Times New Roman" w:hAnsi="Times New Roman" w:cs="Times New Roman"/>
          <w:b/>
          <w:bCs/>
          <w:color w:val="000000"/>
          <w:sz w:val="24"/>
          <w:szCs w:val="24"/>
        </w:rPr>
        <w:t xml:space="preserve">IVGT SRL </w:t>
      </w:r>
    </w:p>
    <w:p w14:paraId="38C95D9C"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Ulteriore bonifico bancario del 5% </w:t>
      </w:r>
      <w:r>
        <w:rPr>
          <w:rFonts w:ascii="Times New Roman" w:eastAsia="Times New Roman" w:hAnsi="Times New Roman" w:cs="Times New Roman"/>
          <w:color w:val="000000"/>
          <w:sz w:val="24"/>
          <w:szCs w:val="24"/>
        </w:rPr>
        <w:t xml:space="preserve">sul prezzo offerto per </w:t>
      </w:r>
      <w:r>
        <w:rPr>
          <w:rFonts w:ascii="Times New Roman" w:eastAsia="Times New Roman" w:hAnsi="Times New Roman" w:cs="Times New Roman"/>
          <w:b/>
          <w:bCs/>
          <w:color w:val="000000"/>
          <w:sz w:val="24"/>
          <w:szCs w:val="24"/>
        </w:rPr>
        <w:t xml:space="preserve">diritti d’asta sul conto corrente sopra indicato. </w:t>
      </w:r>
    </w:p>
    <w:p w14:paraId="7807E885"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p>
    <w:p w14:paraId="6E6A0D28" w14:textId="2018F1FB"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Tale importo sarà trattenuto in caso di decadenza dell’aggiudicatario ex art. 587 c.p.c.  </w:t>
      </w:r>
      <w:r>
        <w:rPr>
          <w:rFonts w:ascii="Times New Roman" w:eastAsia="Times New Roman" w:hAnsi="Times New Roman" w:cs="Times New Roman"/>
          <w:b/>
          <w:bCs/>
          <w:color w:val="000000"/>
          <w:sz w:val="24"/>
          <w:szCs w:val="24"/>
        </w:rPr>
        <w:t xml:space="preserve">Il deposito dell’offerta dovrà avvenire entro il giorno 11 DICEMBRE 2026 alle ore 12.00. </w:t>
      </w:r>
    </w:p>
    <w:p w14:paraId="7587B0FD" w14:textId="172C0BD4" w:rsidR="00575CBE" w:rsidRDefault="00575CBE" w:rsidP="00575CBE">
      <w:pPr>
        <w:widowControl w:val="0"/>
        <w:pBdr>
          <w:top w:val="nil"/>
          <w:left w:val="nil"/>
          <w:bottom w:val="nil"/>
          <w:right w:val="nil"/>
          <w:between w:val="nil"/>
        </w:pBdr>
        <w:spacing w:before="282"/>
        <w:ind w:right="297" w:firstLine="1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Il bonifico, con causale “</w:t>
      </w:r>
      <w:proofErr w:type="spellStart"/>
      <w:r>
        <w:rPr>
          <w:rFonts w:ascii="Times New Roman" w:eastAsia="Times New Roman" w:hAnsi="Times New Roman" w:cs="Times New Roman"/>
          <w:b/>
          <w:bCs/>
          <w:i/>
          <w:iCs/>
          <w:color w:val="000000"/>
          <w:sz w:val="24"/>
          <w:szCs w:val="24"/>
        </w:rPr>
        <w:t>Liq.Giud</w:t>
      </w:r>
      <w:proofErr w:type="spellEnd"/>
      <w:r>
        <w:rPr>
          <w:rFonts w:ascii="Times New Roman" w:eastAsia="Times New Roman" w:hAnsi="Times New Roman" w:cs="Times New Roman"/>
          <w:b/>
          <w:bCs/>
          <w:i/>
          <w:iCs/>
          <w:color w:val="000000"/>
          <w:sz w:val="24"/>
          <w:szCs w:val="24"/>
        </w:rPr>
        <w:t xml:space="preserve">. 31/2025 - lotto </w:t>
      </w:r>
      <w:r w:rsidR="007F0A29">
        <w:rPr>
          <w:rFonts w:ascii="Times New Roman" w:eastAsia="Times New Roman" w:hAnsi="Times New Roman" w:cs="Times New Roman"/>
          <w:b/>
          <w:bCs/>
          <w:i/>
          <w:iCs/>
          <w:color w:val="000000"/>
          <w:sz w:val="24"/>
          <w:szCs w:val="24"/>
        </w:rPr>
        <w:t>6</w:t>
      </w:r>
      <w:r>
        <w:rPr>
          <w:rFonts w:ascii="Times New Roman" w:eastAsia="Times New Roman" w:hAnsi="Times New Roman" w:cs="Times New Roman"/>
          <w:b/>
          <w:bCs/>
          <w:i/>
          <w:iCs/>
          <w:color w:val="000000"/>
          <w:sz w:val="24"/>
          <w:szCs w:val="24"/>
        </w:rPr>
        <w:t xml:space="preserve"> – Versamento cauzione” </w:t>
      </w:r>
      <w:r>
        <w:rPr>
          <w:rFonts w:ascii="Times New Roman" w:eastAsia="Times New Roman" w:hAnsi="Times New Roman" w:cs="Times New Roman"/>
          <w:color w:val="000000"/>
          <w:sz w:val="24"/>
          <w:szCs w:val="24"/>
        </w:rPr>
        <w:t>ed “</w:t>
      </w:r>
      <w:proofErr w:type="spellStart"/>
      <w:r>
        <w:rPr>
          <w:rFonts w:ascii="Times New Roman" w:eastAsia="Times New Roman" w:hAnsi="Times New Roman" w:cs="Times New Roman"/>
          <w:b/>
          <w:bCs/>
          <w:i/>
          <w:iCs/>
          <w:color w:val="000000"/>
          <w:sz w:val="24"/>
          <w:szCs w:val="24"/>
        </w:rPr>
        <w:t>Liq.Giud</w:t>
      </w:r>
      <w:proofErr w:type="spellEnd"/>
      <w:r>
        <w:rPr>
          <w:rFonts w:ascii="Times New Roman" w:eastAsia="Times New Roman" w:hAnsi="Times New Roman" w:cs="Times New Roman"/>
          <w:b/>
          <w:bCs/>
          <w:i/>
          <w:iCs/>
          <w:color w:val="000000"/>
          <w:sz w:val="24"/>
          <w:szCs w:val="24"/>
        </w:rPr>
        <w:t>.  31/2025– diritti d’asta”</w:t>
      </w:r>
      <w:r>
        <w:rPr>
          <w:rFonts w:ascii="Times New Roman" w:eastAsia="Times New Roman" w:hAnsi="Times New Roman" w:cs="Times New Roman"/>
          <w:b/>
          <w:bCs/>
          <w:color w:val="000000"/>
          <w:sz w:val="24"/>
          <w:szCs w:val="24"/>
        </w:rPr>
        <w:t xml:space="preserve">, dovranno essere effettuati in modo tale che l’accredito delle somme abbia luogo entro il giorno precedente l’udienza di vendita. </w:t>
      </w:r>
    </w:p>
    <w:p w14:paraId="719DC4AE" w14:textId="77777777" w:rsidR="00575CBE" w:rsidRDefault="00575CBE" w:rsidP="00575CBE">
      <w:pPr>
        <w:widowControl w:val="0"/>
        <w:pBdr>
          <w:top w:val="nil"/>
          <w:left w:val="nil"/>
          <w:bottom w:val="nil"/>
          <w:right w:val="nil"/>
          <w:between w:val="nil"/>
        </w:pBdr>
        <w:spacing w:before="5"/>
        <w:ind w:right="302" w:firstLine="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Qualora il giorno fissato per l’udienza di vendita non venga riscontrato l’accredito delle somme sul conto corrente indicato per il versamento delle cauzioni e dei diritti d’asta, l’offerta sarà considerata inammissibile. </w:t>
      </w:r>
    </w:p>
    <w:p w14:paraId="4C8F4145" w14:textId="77777777" w:rsidR="00575CBE" w:rsidRDefault="00575CBE" w:rsidP="00575CBE">
      <w:pPr>
        <w:widowControl w:val="0"/>
        <w:pBdr>
          <w:top w:val="nil"/>
          <w:left w:val="nil"/>
          <w:bottom w:val="nil"/>
          <w:right w:val="nil"/>
          <w:between w:val="nil"/>
        </w:pBdr>
        <w:spacing w:before="282"/>
        <w:ind w:right="298"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telematico deve procedere al pagamento del bollo dovuto per legge (attualmente pari ad € 16,00) in modalità telematica, salvo che sia esentato ai sensi del DPR 447/2000. Il bollo può essere pagato sul portale dei servizi telematici all'indirizzo </w:t>
      </w:r>
      <w:r>
        <w:rPr>
          <w:rFonts w:ascii="Times New Roman" w:eastAsia="Times New Roman" w:hAnsi="Times New Roman" w:cs="Times New Roman"/>
          <w:b/>
          <w:bCs/>
          <w:color w:val="000000"/>
          <w:sz w:val="24"/>
          <w:szCs w:val="24"/>
        </w:rPr>
        <w:t>http://pst.giustizia.it, tramite il servizio “pagamento di bolli digitali", tramite carta di credito o bonifico bancario</w:t>
      </w:r>
      <w:r>
        <w:rPr>
          <w:rFonts w:ascii="Times New Roman" w:eastAsia="Times New Roman" w:hAnsi="Times New Roman" w:cs="Times New Roman"/>
          <w:color w:val="000000"/>
          <w:sz w:val="24"/>
          <w:szCs w:val="24"/>
        </w:rPr>
        <w:t xml:space="preserve">, seguendo le istruzioni indicate nel “manuale utente per la presentazione dell’offerta telematica” reperibile sul sito internet pst.giustizia.it. </w:t>
      </w:r>
    </w:p>
    <w:p w14:paraId="2EC7C9DC" w14:textId="77777777" w:rsidR="00575CBE" w:rsidRDefault="00575CBE" w:rsidP="00575CBE">
      <w:pPr>
        <w:widowControl w:val="0"/>
        <w:pBdr>
          <w:top w:val="nil"/>
          <w:left w:val="nil"/>
          <w:bottom w:val="nil"/>
          <w:right w:val="nil"/>
          <w:between w:val="nil"/>
        </w:pBdr>
        <w:spacing w:before="282"/>
        <w:ind w:right="298"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L’offerente cartaceo deve procedere al pagamento del bollo dovuto per legge (attualmente pari ad € 16,00) applicando la marca da bollo all’offerta presentata, salvo che sia esentato ai sensi del DPR  447/2000. </w:t>
      </w:r>
    </w:p>
    <w:p w14:paraId="4197D5F0" w14:textId="77777777" w:rsidR="00575CBE" w:rsidRDefault="00575CBE" w:rsidP="00575CBE">
      <w:pPr>
        <w:widowControl w:val="0"/>
        <w:pBdr>
          <w:top w:val="nil"/>
          <w:left w:val="nil"/>
          <w:bottom w:val="nil"/>
          <w:right w:val="nil"/>
          <w:between w:val="nil"/>
        </w:pBdr>
        <w:spacing w:before="6"/>
        <w:ind w:right="30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caso di mancata aggiudicazione e all’esito dell’avvio della gara in caso di plurimi offerenti, l’importo versato a titolo di cauzione (al netto degli eventuali oneri bancari) sarà restituito ai soggetti offerenti non aggiudicatari. </w:t>
      </w:r>
    </w:p>
    <w:p w14:paraId="78F729EE" w14:textId="77777777" w:rsidR="00575CBE" w:rsidRDefault="00575CBE" w:rsidP="00575CBE">
      <w:pPr>
        <w:widowControl w:val="0"/>
        <w:pBdr>
          <w:top w:val="nil"/>
          <w:left w:val="nil"/>
          <w:bottom w:val="nil"/>
          <w:right w:val="nil"/>
          <w:between w:val="nil"/>
        </w:pBdr>
        <w:spacing w:before="281"/>
        <w:ind w:right="304"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l’offerente telematico, la restituzione avrà luogo esclusivamente mediante bonifico sul conto corrente indicato nel modulo di offerta.</w:t>
      </w:r>
    </w:p>
    <w:p w14:paraId="3D10962F" w14:textId="77777777" w:rsidR="00575CBE" w:rsidRDefault="00575CBE" w:rsidP="00575CBE">
      <w:pPr>
        <w:widowControl w:val="0"/>
        <w:pBdr>
          <w:top w:val="nil"/>
          <w:left w:val="nil"/>
          <w:bottom w:val="nil"/>
          <w:right w:val="nil"/>
          <w:between w:val="nil"/>
        </w:pBdr>
        <w:ind w:right="305"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L’offerta è irrevocabile ai sensi dell’art. 571 comma 3 c.p.c., che si richiama al fine della validità e dell’efficacia della medesima. </w:t>
      </w:r>
    </w:p>
    <w:p w14:paraId="405E5354" w14:textId="77777777" w:rsidR="00575CBE" w:rsidRDefault="00575CBE" w:rsidP="00575CBE">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All’offerta, sia cartacea che telematica, dovranno essere allegati: </w:t>
      </w:r>
    </w:p>
    <w:p w14:paraId="7DAF9793" w14:textId="77777777" w:rsidR="00575CBE" w:rsidRDefault="00575CBE" w:rsidP="00575CBE">
      <w:pPr>
        <w:widowControl w:val="0"/>
        <w:pBdr>
          <w:top w:val="nil"/>
          <w:left w:val="nil"/>
          <w:bottom w:val="nil"/>
          <w:right w:val="nil"/>
          <w:between w:val="nil"/>
        </w:pBdr>
        <w:ind w:right="18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copia del documento d’identità e copia del codice fiscale del soggetto offerente; - l’importo offerto per l’acquisto del bene; </w:t>
      </w:r>
    </w:p>
    <w:p w14:paraId="5456EF57" w14:textId="77777777" w:rsidR="00575CBE" w:rsidRDefault="00575CBE" w:rsidP="00575CBE">
      <w:pPr>
        <w:widowControl w:val="0"/>
        <w:pBdr>
          <w:top w:val="nil"/>
          <w:left w:val="nil"/>
          <w:bottom w:val="nil"/>
          <w:right w:val="nil"/>
          <w:between w:val="nil"/>
        </w:pBdr>
        <w:spacing w:before="6"/>
        <w:ind w:right="299"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documentazione, attestante il versamento (segnatamente, </w:t>
      </w:r>
      <w:r>
        <w:rPr>
          <w:rFonts w:ascii="Times New Roman" w:eastAsia="Times New Roman" w:hAnsi="Times New Roman" w:cs="Times New Roman"/>
          <w:color w:val="000000"/>
          <w:sz w:val="24"/>
          <w:szCs w:val="24"/>
          <w:u w:val="single"/>
        </w:rPr>
        <w:t xml:space="preserve">copia della contabile di avvenuto </w:t>
      </w:r>
      <w:r>
        <w:rPr>
          <w:rFonts w:ascii="Times New Roman" w:eastAsia="Times New Roman" w:hAnsi="Times New Roman" w:cs="Times New Roman"/>
          <w:color w:val="000000"/>
          <w:sz w:val="24"/>
          <w:szCs w:val="24"/>
        </w:rPr>
        <w:t>pagamento</w:t>
      </w:r>
      <w:r>
        <w:rPr>
          <w:rFonts w:ascii="Times New Roman" w:eastAsia="Times New Roman" w:hAnsi="Times New Roman" w:cs="Times New Roman"/>
          <w:color w:val="000000"/>
          <w:sz w:val="24"/>
          <w:szCs w:val="24"/>
          <w:u w:val="single"/>
        </w:rPr>
        <w:t xml:space="preserve"> oppure assegno circolare</w:t>
      </w:r>
      <w:r>
        <w:rPr>
          <w:rFonts w:ascii="Times New Roman" w:eastAsia="Times New Roman" w:hAnsi="Times New Roman" w:cs="Times New Roman"/>
          <w:color w:val="000000"/>
          <w:sz w:val="24"/>
          <w:szCs w:val="24"/>
        </w:rPr>
        <w:t xml:space="preserve">): </w:t>
      </w:r>
    </w:p>
    <w:p w14:paraId="2628D012" w14:textId="77777777" w:rsidR="00575CBE" w:rsidRDefault="00575CBE" w:rsidP="00575CBE">
      <w:pPr>
        <w:widowControl w:val="0"/>
        <w:pBdr>
          <w:top w:val="nil"/>
          <w:left w:val="nil"/>
          <w:bottom w:val="nil"/>
          <w:right w:val="nil"/>
          <w:between w:val="nil"/>
        </w:pBdr>
        <w:spacing w:before="6"/>
        <w:ind w:right="297"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richiesta di agevolazioni fiscali (c.d. “prima casa” e/o “prezzo valore”), salva la facoltà di depositarla successivamente all’aggiudicazione ma </w:t>
      </w:r>
      <w:r>
        <w:rPr>
          <w:rFonts w:ascii="Times New Roman" w:eastAsia="Times New Roman" w:hAnsi="Times New Roman" w:cs="Times New Roman"/>
          <w:color w:val="000000"/>
          <w:sz w:val="24"/>
          <w:szCs w:val="24"/>
          <w:u w:val="single"/>
        </w:rPr>
        <w:t>prima</w:t>
      </w:r>
      <w:r>
        <w:rPr>
          <w:rFonts w:ascii="Times New Roman" w:eastAsia="Times New Roman" w:hAnsi="Times New Roman" w:cs="Times New Roman"/>
          <w:color w:val="000000"/>
          <w:sz w:val="24"/>
          <w:szCs w:val="24"/>
        </w:rPr>
        <w:t xml:space="preserve"> del versamento del saldo prezzo (unitamente al quale dovranno essere depositate le spese a carico dell’aggiudicatario </w:t>
      </w:r>
      <w:r>
        <w:rPr>
          <w:rFonts w:ascii="Times New Roman" w:eastAsia="Times New Roman" w:hAnsi="Times New Roman" w:cs="Times New Roman"/>
          <w:i/>
          <w:iCs/>
          <w:color w:val="000000"/>
          <w:sz w:val="24"/>
          <w:szCs w:val="24"/>
        </w:rPr>
        <w:t xml:space="preserve">ex </w:t>
      </w:r>
      <w:r>
        <w:rPr>
          <w:rFonts w:ascii="Times New Roman" w:eastAsia="Times New Roman" w:hAnsi="Times New Roman" w:cs="Times New Roman"/>
          <w:color w:val="000000"/>
          <w:sz w:val="24"/>
          <w:szCs w:val="24"/>
        </w:rPr>
        <w:t xml:space="preserve">art.2, comma settimo del D.M. 227/2015); </w:t>
      </w:r>
    </w:p>
    <w:p w14:paraId="06C318DC" w14:textId="77777777" w:rsidR="00575CBE" w:rsidRDefault="00575CBE" w:rsidP="00575CBE">
      <w:pPr>
        <w:widowControl w:val="0"/>
        <w:pBdr>
          <w:top w:val="nil"/>
          <w:left w:val="nil"/>
          <w:bottom w:val="nil"/>
          <w:right w:val="nil"/>
          <w:between w:val="nil"/>
        </w:pBdr>
        <w:spacing w:before="6"/>
        <w:ind w:right="29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coniugato, in regime di comunione legale dei beni, copia del documento d’identità e copia del codice fiscale del coniuge (salva la facoltà del deposito successivo all’esito dell’aggiudicazione e del versamento del prezzo); </w:t>
      </w:r>
    </w:p>
    <w:p w14:paraId="059D6CFE" w14:textId="77777777" w:rsidR="00575CBE" w:rsidRDefault="00575CBE" w:rsidP="00575CBE">
      <w:pPr>
        <w:widowControl w:val="0"/>
        <w:pBdr>
          <w:top w:val="nil"/>
          <w:left w:val="nil"/>
          <w:bottom w:val="nil"/>
          <w:right w:val="nil"/>
          <w:between w:val="nil"/>
        </w:pBdr>
        <w:spacing w:before="6"/>
        <w:ind w:right="304"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minorenne, copia del documento d’identità e copia del codice fiscale del soggetto offerente e del soggetto che sottoscrive l’offerta, nonché copia del provvedimento di autorizzazione; </w:t>
      </w:r>
    </w:p>
    <w:p w14:paraId="036B012D" w14:textId="77777777" w:rsidR="00575CBE" w:rsidRDefault="00575CBE" w:rsidP="00575CBE">
      <w:pPr>
        <w:widowControl w:val="0"/>
        <w:pBdr>
          <w:top w:val="nil"/>
          <w:left w:val="nil"/>
          <w:bottom w:val="nil"/>
          <w:right w:val="nil"/>
          <w:between w:val="nil"/>
        </w:pBdr>
        <w:spacing w:before="6"/>
        <w:ind w:right="299"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un interdetto, un inabilitato o un amministrato di sostegno, copia del documento d’identità e copia del codice fiscale del soggetto offerente e del soggetto che sottoscrive l’offerta, nonché copia del provvedimento di nomina del sottoscrittore e dell’autorizzazione del giudice tutelare; </w:t>
      </w:r>
    </w:p>
    <w:p w14:paraId="3B18D7F7" w14:textId="77777777" w:rsidR="00575CBE" w:rsidRDefault="00575CBE" w:rsidP="00575CBE">
      <w:pPr>
        <w:widowControl w:val="0"/>
        <w:pBdr>
          <w:top w:val="nil"/>
          <w:left w:val="nil"/>
          <w:bottom w:val="nil"/>
          <w:right w:val="nil"/>
          <w:between w:val="nil"/>
        </w:pBdr>
        <w:spacing w:before="6"/>
        <w:ind w:right="300"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una società o persona giuridica, copia del documento (ad esempio, certificato del registro delle imprese) da cui risultino i poteri ovvero la procura o l’atto di nomina che giustifichi i poteri; </w:t>
      </w:r>
    </w:p>
    <w:p w14:paraId="4321F68C" w14:textId="77777777" w:rsidR="00575CBE" w:rsidRDefault="00575CBE" w:rsidP="00575CBE">
      <w:pPr>
        <w:widowControl w:val="0"/>
        <w:pBdr>
          <w:top w:val="nil"/>
          <w:left w:val="nil"/>
          <w:bottom w:val="nil"/>
          <w:right w:val="nil"/>
          <w:between w:val="nil"/>
        </w:pBdr>
        <w:spacing w:before="6"/>
        <w:ind w:right="300" w:firstLine="2"/>
        <w:jc w:val="both"/>
        <w:rPr>
          <w:rFonts w:ascii="Times New Roman" w:eastAsia="Times New Roman" w:hAnsi="Times New Roman" w:cs="Times New Roman"/>
          <w:color w:val="000000"/>
          <w:sz w:val="24"/>
          <w:szCs w:val="24"/>
        </w:rPr>
      </w:pPr>
    </w:p>
    <w:p w14:paraId="08FC2E35" w14:textId="77777777" w:rsidR="00575CBE" w:rsidRDefault="00575CBE" w:rsidP="00575CBE">
      <w:pPr>
        <w:widowControl w:val="0"/>
        <w:pBdr>
          <w:top w:val="nil"/>
          <w:left w:val="nil"/>
          <w:bottom w:val="nil"/>
          <w:right w:val="nil"/>
          <w:between w:val="nil"/>
        </w:pBdr>
        <w:spacing w:before="6"/>
        <w:ind w:right="29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l’offerta è formulata da più persone, copia anche per immagine della procura rilasciata dagli altri offerenti per atto pubblico o scrittura privata autenticata in favore del: </w:t>
      </w:r>
    </w:p>
    <w:p w14:paraId="4D855675"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Courier New" w:eastAsia="Courier New" w:hAnsi="Courier New" w:cs="Courier New"/>
          <w:color w:val="000000"/>
          <w:sz w:val="24"/>
          <w:szCs w:val="24"/>
        </w:rPr>
        <w:t xml:space="preserve">o </w:t>
      </w:r>
      <w:r>
        <w:rPr>
          <w:rFonts w:ascii="Times New Roman" w:eastAsia="Times New Roman" w:hAnsi="Times New Roman" w:cs="Times New Roman"/>
          <w:color w:val="000000"/>
          <w:sz w:val="24"/>
          <w:szCs w:val="24"/>
        </w:rPr>
        <w:t xml:space="preserve">presentatore;  </w:t>
      </w:r>
    </w:p>
    <w:p w14:paraId="0F52B0FB" w14:textId="77777777" w:rsidR="00575CBE" w:rsidRDefault="00575CBE" w:rsidP="00575CBE">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Courier New" w:eastAsia="Courier New" w:hAnsi="Courier New" w:cs="Courier New"/>
          <w:color w:val="000000"/>
          <w:sz w:val="24"/>
          <w:szCs w:val="24"/>
        </w:rPr>
        <w:t xml:space="preserve">o </w:t>
      </w:r>
      <w:r>
        <w:rPr>
          <w:rFonts w:ascii="Times New Roman" w:eastAsia="Times New Roman" w:hAnsi="Times New Roman" w:cs="Times New Roman"/>
          <w:color w:val="000000"/>
          <w:sz w:val="24"/>
          <w:szCs w:val="24"/>
        </w:rPr>
        <w:t xml:space="preserve">soggetto che sottoscrive l’offerta per la modalità cartacea. </w:t>
      </w:r>
    </w:p>
    <w:p w14:paraId="59EFAB10" w14:textId="069ED713" w:rsidR="00575CBE" w:rsidRDefault="00575CBE"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dovrà altresì dichiarare l’eventuale volontà di avvalersi della procedura di mutuo in caso di aggiudicazione definitiva come previsto dall’art. 585 c.p.c. (e meglio sotto precisato). </w:t>
      </w:r>
    </w:p>
    <w:p w14:paraId="64DDA9DE" w14:textId="77777777" w:rsidR="00B61599" w:rsidRDefault="00B61599"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p>
    <w:p w14:paraId="447BE90E" w14:textId="77777777" w:rsidR="00B61599" w:rsidRDefault="00B61599"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p>
    <w:p w14:paraId="516E5027"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3. - Apertura delle buste ed eventuale gara tra gli offerenti </w:t>
      </w:r>
    </w:p>
    <w:p w14:paraId="1005BF63" w14:textId="77777777" w:rsidR="00497920" w:rsidRDefault="00497920" w:rsidP="00497920">
      <w:pPr>
        <w:widowControl w:val="0"/>
        <w:pBdr>
          <w:top w:val="nil"/>
          <w:left w:val="nil"/>
          <w:bottom w:val="nil"/>
          <w:right w:val="nil"/>
          <w:between w:val="nil"/>
        </w:pBdr>
        <w:ind w:right="305"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L’esame delle offerte e lo svolgimento dell’eventuale gara sarà effettuato presso lo Studio del Commissionario sito in Trento presso la Sala Aste in Via Fersina 12/A. </w:t>
      </w:r>
    </w:p>
    <w:p w14:paraId="478BFCED" w14:textId="77777777" w:rsidR="00497920" w:rsidRDefault="00497920" w:rsidP="00497920">
      <w:pPr>
        <w:widowControl w:val="0"/>
        <w:pBdr>
          <w:top w:val="nil"/>
          <w:left w:val="nil"/>
          <w:bottom w:val="nil"/>
          <w:right w:val="nil"/>
          <w:between w:val="nil"/>
        </w:pBdr>
        <w:spacing w:before="6"/>
        <w:ind w:right="29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 Commissionario utilizzerà il portale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Le buste telematiche e cartacee contenenti le offerte verranno aperte dal Commissionario solo nella data ed all’orario dell’udienza di vendita, sopra indicati. </w:t>
      </w:r>
    </w:p>
    <w:p w14:paraId="57469C20"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partecipazione degli offerenti all’udienza di vendita avrà luogo: </w:t>
      </w:r>
    </w:p>
    <w:p w14:paraId="27A88263"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offerente telematico: esclusivamente tramite l’area riservata del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accedendo alla stessa con le credenziali personali ed in base alle istruzioni ricevute almeno 30 minuti prima dell’inizio delle operazioni di vendita, sulla casella di posta elettronica certificata o sulla casella di posta elettronica certificata per la vendita telematica utilizzata per trasmettere l’offerta; </w:t>
      </w:r>
    </w:p>
    <w:p w14:paraId="0F590E6B" w14:textId="1A6B765D"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offerente cartaceo: mediante presenza presso lo Studio del Commissionario sito in Trento, presso la Sala Aste in Via Fersina 12/A. </w:t>
      </w:r>
    </w:p>
    <w:p w14:paraId="668AE321" w14:textId="77777777" w:rsidR="00497920" w:rsidRDefault="00497920" w:rsidP="00497920">
      <w:pPr>
        <w:widowControl w:val="0"/>
        <w:pBdr>
          <w:top w:val="nil"/>
          <w:left w:val="nil"/>
          <w:bottom w:val="nil"/>
          <w:right w:val="nil"/>
          <w:between w:val="nil"/>
        </w:pBdr>
        <w:spacing w:before="282"/>
        <w:ind w:right="306" w:firstLin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Si precisa che </w:t>
      </w:r>
      <w:r>
        <w:rPr>
          <w:rFonts w:ascii="Times New Roman" w:eastAsia="Times New Roman" w:hAnsi="Times New Roman" w:cs="Times New Roman"/>
          <w:b/>
          <w:bCs/>
          <w:color w:val="000000"/>
          <w:sz w:val="24"/>
          <w:szCs w:val="24"/>
        </w:rPr>
        <w:t xml:space="preserve">anche nel caso di mancata connessione/presenza da parte dell’unico offerente, l’aggiudicazione potrà comunque essere disposta in suo favore. </w:t>
      </w:r>
    </w:p>
    <w:p w14:paraId="79385508" w14:textId="77777777" w:rsidR="00497920" w:rsidRDefault="00497920" w:rsidP="00497920">
      <w:pPr>
        <w:widowControl w:val="0"/>
        <w:pBdr>
          <w:top w:val="nil"/>
          <w:left w:val="nil"/>
          <w:bottom w:val="nil"/>
          <w:right w:val="nil"/>
          <w:between w:val="nil"/>
        </w:pBdr>
        <w:spacing w:before="6"/>
        <w:ind w:right="297"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Nell’ipotesi di presentazione di </w:t>
      </w:r>
      <w:r>
        <w:rPr>
          <w:rFonts w:ascii="Times New Roman" w:eastAsia="Times New Roman" w:hAnsi="Times New Roman" w:cs="Times New Roman"/>
          <w:b/>
          <w:bCs/>
          <w:color w:val="000000"/>
          <w:sz w:val="24"/>
          <w:szCs w:val="24"/>
        </w:rPr>
        <w:t xml:space="preserve">più offerte valide </w:t>
      </w:r>
      <w:r>
        <w:rPr>
          <w:rFonts w:ascii="Times New Roman" w:eastAsia="Times New Roman" w:hAnsi="Times New Roman" w:cs="Times New Roman"/>
          <w:color w:val="000000"/>
          <w:sz w:val="24"/>
          <w:szCs w:val="24"/>
        </w:rPr>
        <w:t xml:space="preserve">si procederà con gara tra gli offerenti mediante la piattaforma </w:t>
      </w:r>
      <w:r>
        <w:rPr>
          <w:rFonts w:ascii="Times New Roman" w:eastAsia="Times New Roman" w:hAnsi="Times New Roman" w:cs="Times New Roman"/>
          <w:color w:val="0563C1"/>
          <w:sz w:val="24"/>
          <w:szCs w:val="24"/>
          <w:u w:val="single"/>
        </w:rPr>
        <w:t xml:space="preserve">www.fallcoaste.it </w:t>
      </w:r>
      <w:r>
        <w:rPr>
          <w:rFonts w:ascii="Times New Roman" w:eastAsia="Times New Roman" w:hAnsi="Times New Roman" w:cs="Times New Roman"/>
          <w:color w:val="000000"/>
          <w:sz w:val="24"/>
          <w:szCs w:val="24"/>
        </w:rPr>
        <w:t>sul prezzo offerto più alto (</w:t>
      </w:r>
      <w:r>
        <w:rPr>
          <w:rFonts w:ascii="Times New Roman" w:eastAsia="Times New Roman" w:hAnsi="Times New Roman" w:cs="Times New Roman"/>
          <w:color w:val="000000"/>
          <w:sz w:val="24"/>
          <w:szCs w:val="24"/>
          <w:u w:val="single"/>
        </w:rPr>
        <w:t>tanto</w:t>
      </w:r>
      <w:r>
        <w:rPr>
          <w:rFonts w:ascii="Times New Roman" w:eastAsia="Times New Roman" w:hAnsi="Times New Roman" w:cs="Times New Roman"/>
          <w:color w:val="000000"/>
          <w:sz w:val="24"/>
          <w:szCs w:val="24"/>
        </w:rPr>
        <w:t xml:space="preserve">, anche in presenza di due o più offerte di identico importo). </w:t>
      </w:r>
    </w:p>
    <w:p w14:paraId="01231144" w14:textId="77777777" w:rsidR="00497920" w:rsidRDefault="00497920" w:rsidP="00497920">
      <w:pPr>
        <w:widowControl w:val="0"/>
        <w:pBdr>
          <w:top w:val="nil"/>
          <w:left w:val="nil"/>
          <w:bottom w:val="nil"/>
          <w:right w:val="nil"/>
          <w:between w:val="nil"/>
        </w:pBdr>
        <w:ind w:right="305"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quindi, avrà inizio subito dopo l’apertura delle buste di offerte ed il vaglio di ammissibilità di tutte le offerte ricevute. </w:t>
      </w:r>
    </w:p>
    <w:p w14:paraId="395A0CD5"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 offerte giudicate regolari abiliteranno automaticamente l’offerente alla partecipazione alla gara. </w:t>
      </w:r>
    </w:p>
    <w:p w14:paraId="4EAB2AE2" w14:textId="3391F0CD" w:rsidR="00497920" w:rsidRDefault="00497920" w:rsidP="00497920">
      <w:pPr>
        <w:widowControl w:val="0"/>
        <w:pBdr>
          <w:top w:val="nil"/>
          <w:left w:val="nil"/>
          <w:bottom w:val="nil"/>
          <w:right w:val="nil"/>
          <w:between w:val="nil"/>
        </w:pBdr>
        <w:spacing w:before="271"/>
        <w:ind w:right="29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Ogni rilancio durante la gara, dovrà essere non inferiore a euro </w:t>
      </w:r>
      <w:r w:rsidR="003729D0">
        <w:rPr>
          <w:rFonts w:ascii="Times New Roman" w:eastAsia="Times New Roman" w:hAnsi="Times New Roman" w:cs="Times New Roman"/>
          <w:b/>
          <w:bCs/>
          <w:color w:val="000000"/>
          <w:sz w:val="24"/>
          <w:szCs w:val="24"/>
        </w:rPr>
        <w:t>2.500</w:t>
      </w:r>
      <w:r>
        <w:rPr>
          <w:rFonts w:ascii="Times New Roman" w:eastAsia="Times New Roman" w:hAnsi="Times New Roman" w:cs="Times New Roman"/>
          <w:b/>
          <w:bCs/>
          <w:color w:val="000000"/>
          <w:sz w:val="24"/>
          <w:szCs w:val="24"/>
        </w:rPr>
        <w:t xml:space="preserve">,00; </w:t>
      </w:r>
      <w:r>
        <w:rPr>
          <w:rFonts w:ascii="Times New Roman" w:eastAsia="Times New Roman" w:hAnsi="Times New Roman" w:cs="Times New Roman"/>
          <w:color w:val="000000"/>
          <w:sz w:val="24"/>
          <w:szCs w:val="24"/>
        </w:rPr>
        <w:t xml:space="preserve">in caso di gara tra gli offerenti, aggiudicherà al maggior offerente (allorché siano trascorsi 180 secondi dall’ultima offerta senza che ne segua altra maggiore). </w:t>
      </w:r>
    </w:p>
    <w:p w14:paraId="17990DCD" w14:textId="77777777" w:rsidR="00497920" w:rsidRDefault="00497920" w:rsidP="00497920">
      <w:pPr>
        <w:widowControl w:val="0"/>
        <w:pBdr>
          <w:top w:val="nil"/>
          <w:left w:val="nil"/>
          <w:bottom w:val="nil"/>
          <w:right w:val="nil"/>
          <w:between w:val="nil"/>
        </w:pBdr>
        <w:spacing w:before="282"/>
        <w:ind w:right="240" w:hanging="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Al termine della gara</w:t>
      </w:r>
      <w:r>
        <w:rPr>
          <w:rFonts w:ascii="Times New Roman" w:eastAsia="Times New Roman" w:hAnsi="Times New Roman" w:cs="Times New Roman"/>
          <w:color w:val="000000"/>
          <w:sz w:val="24"/>
          <w:szCs w:val="24"/>
        </w:rPr>
        <w:t xml:space="preserve">, comprensiva degli eventuali prolungamenti, il </w:t>
      </w:r>
      <w:r>
        <w:rPr>
          <w:rFonts w:ascii="Times New Roman" w:eastAsia="Times New Roman" w:hAnsi="Times New Roman" w:cs="Times New Roman"/>
          <w:b/>
          <w:bCs/>
          <w:color w:val="000000"/>
          <w:sz w:val="24"/>
          <w:szCs w:val="24"/>
        </w:rPr>
        <w:t>Commissionario procederà all’aggiudicazione</w:t>
      </w:r>
      <w:r>
        <w:rPr>
          <w:rFonts w:ascii="Times New Roman" w:eastAsia="Times New Roman" w:hAnsi="Times New Roman" w:cs="Times New Roman"/>
          <w:color w:val="000000"/>
          <w:sz w:val="24"/>
          <w:szCs w:val="24"/>
        </w:rPr>
        <w:t xml:space="preserve">, stilando apposito verbale. </w:t>
      </w:r>
    </w:p>
    <w:p w14:paraId="65B321F3" w14:textId="77777777" w:rsidR="00497920" w:rsidRDefault="00497920" w:rsidP="00497920">
      <w:pPr>
        <w:widowControl w:val="0"/>
        <w:pBdr>
          <w:top w:val="nil"/>
          <w:left w:val="nil"/>
          <w:bottom w:val="nil"/>
          <w:right w:val="nil"/>
          <w:between w:val="nil"/>
        </w:pBdr>
        <w:spacing w:before="282"/>
        <w:ind w:right="2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 caso in cui non vi siano state offerte in aumento in fase di gara (dimostrando così la mancata volontà di ogni offerente di aderire alla gara), l’aggiudicazione avverrà sulla scorta degli elementi di seguito elencati (in ordine di priorità): </w:t>
      </w:r>
    </w:p>
    <w:p w14:paraId="242A5520"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maggior importo del prezzo offerto; </w:t>
      </w:r>
    </w:p>
    <w:p w14:paraId="07106B0B"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di prezzo offerto, maggior importo della cauzione versata; </w:t>
      </w:r>
    </w:p>
    <w:p w14:paraId="2125CCF4" w14:textId="77777777" w:rsidR="00497920" w:rsidRDefault="00497920" w:rsidP="00497920">
      <w:pPr>
        <w:widowControl w:val="0"/>
        <w:pBdr>
          <w:top w:val="nil"/>
          <w:left w:val="nil"/>
          <w:bottom w:val="nil"/>
          <w:right w:val="nil"/>
          <w:between w:val="nil"/>
        </w:pBdr>
        <w:ind w:right="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altresì di cauzione prestata, minor termine indicato per il versamento del prezzo; </w:t>
      </w:r>
    </w:p>
    <w:p w14:paraId="1BE7443D" w14:textId="16ADB5D8" w:rsidR="00497920" w:rsidRDefault="00497920" w:rsidP="00497920">
      <w:pPr>
        <w:widowControl w:val="0"/>
        <w:pBdr>
          <w:top w:val="nil"/>
          <w:left w:val="nil"/>
          <w:bottom w:val="nil"/>
          <w:right w:val="nil"/>
          <w:between w:val="nil"/>
        </w:pBdr>
        <w:ind w:right="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altresì di termine per il versamento del prezzo, priorità temporale nel deposito dell’offerta. </w:t>
      </w:r>
    </w:p>
    <w:p w14:paraId="36DA1B2D" w14:textId="0FCE923E" w:rsidR="00B61599" w:rsidRPr="007F0A29" w:rsidRDefault="00497920" w:rsidP="007F0A29">
      <w:pPr>
        <w:widowControl w:val="0"/>
        <w:pBdr>
          <w:top w:val="nil"/>
          <w:left w:val="nil"/>
          <w:bottom w:val="nil"/>
          <w:right w:val="nil"/>
          <w:between w:val="nil"/>
        </w:pBdr>
        <w:spacing w:before="282"/>
        <w:ind w:right="246"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Gli interessati all’acquisto possono visionare il compendio pignorato collegandosi al Portale delle Vendite e utilizzando l’apposito form di “richiesta prenotazione visita”. </w:t>
      </w:r>
    </w:p>
    <w:p w14:paraId="1E468AA9" w14:textId="1600C6DF"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 Trasferimento del bene </w:t>
      </w:r>
    </w:p>
    <w:p w14:paraId="1342359C" w14:textId="77777777" w:rsidR="00497920" w:rsidRDefault="00497920" w:rsidP="00497920">
      <w:pPr>
        <w:widowControl w:val="0"/>
        <w:pBdr>
          <w:top w:val="nil"/>
          <w:left w:val="nil"/>
          <w:bottom w:val="nil"/>
          <w:right w:val="nil"/>
          <w:between w:val="nil"/>
        </w:pBdr>
        <w:ind w:right="239" w:firstLine="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Il trasferimento del lotto a favore dell’aggiudicatario avverrà mediante rogito notarile presso il </w:t>
      </w:r>
      <w:r>
        <w:rPr>
          <w:rFonts w:ascii="Times New Roman" w:eastAsia="Times New Roman" w:hAnsi="Times New Roman" w:cs="Times New Roman"/>
          <w:b/>
          <w:bCs/>
          <w:color w:val="000000"/>
          <w:sz w:val="24"/>
          <w:szCs w:val="24"/>
        </w:rPr>
        <w:t xml:space="preserve">Notaio Alfredo Dondi, in Piazza Silvio Pellico, 12 – 38122 (TN). </w:t>
      </w:r>
    </w:p>
    <w:p w14:paraId="6E0F6EB2" w14:textId="0636EAB3" w:rsidR="00497920" w:rsidRDefault="00497920" w:rsidP="00497920">
      <w:pPr>
        <w:widowControl w:val="0"/>
        <w:pBdr>
          <w:top w:val="nil"/>
          <w:left w:val="nil"/>
          <w:bottom w:val="nil"/>
          <w:right w:val="nil"/>
          <w:between w:val="nil"/>
        </w:pBdr>
        <w:spacing w:before="6"/>
        <w:ind w:right="239"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L’aggiudicatario dovrà depositare mediante bonifico bancario sul conto corrente della procedura</w:t>
      </w:r>
      <w:r w:rsidR="003729D0" w:rsidRPr="003729D0">
        <w:rPr>
          <w:rFonts w:ascii="Times New Roman" w:eastAsia="Times New Roman" w:hAnsi="Times New Roman" w:cs="Times New Roman"/>
          <w:color w:val="000000"/>
          <w:sz w:val="24"/>
          <w:szCs w:val="24"/>
        </w:rPr>
        <w:t xml:space="preserve"> </w:t>
      </w:r>
      <w:r w:rsidR="003729D0" w:rsidRPr="003729D0">
        <w:rPr>
          <w:rFonts w:ascii="Times New Roman" w:eastAsia="Times New Roman" w:hAnsi="Times New Roman" w:cs="Times New Roman"/>
          <w:color w:val="000000"/>
          <w:sz w:val="24"/>
          <w:szCs w:val="24"/>
        </w:rPr>
        <w:t xml:space="preserve">L.G. 31/2025 – XENA IMMOBILIARE SRL </w:t>
      </w:r>
      <w:r w:rsidR="003729D0" w:rsidRPr="003729D0">
        <w:rPr>
          <w:rFonts w:ascii="Times New Roman" w:eastAsia="Times New Roman" w:hAnsi="Times New Roman" w:cs="Times New Roman"/>
          <w:b/>
          <w:bCs/>
          <w:color w:val="000000"/>
          <w:sz w:val="24"/>
          <w:szCs w:val="24"/>
          <w:u w:val="single"/>
        </w:rPr>
        <w:t>IT 14M0830401833000033439659 Banca per il Trentino alto Adige</w:t>
      </w:r>
      <w:r>
        <w:rPr>
          <w:rFonts w:ascii="Times New Roman" w:eastAsia="Times New Roman" w:hAnsi="Times New Roman" w:cs="Times New Roman"/>
          <w:b/>
          <w:bCs/>
          <w:color w:val="000000"/>
          <w:sz w:val="24"/>
          <w:szCs w:val="24"/>
          <w:u w:val="single"/>
        </w:rPr>
        <w:t xml:space="preserve"> </w:t>
      </w:r>
      <w:r>
        <w:rPr>
          <w:rFonts w:ascii="Times New Roman" w:eastAsia="Times New Roman" w:hAnsi="Times New Roman" w:cs="Times New Roman"/>
          <w:color w:val="000000"/>
          <w:sz w:val="24"/>
          <w:szCs w:val="24"/>
        </w:rPr>
        <w:t xml:space="preserve">il residuo prezzo (detratto l’importo già versato a titolo di cauzione), nel termine indicato nell’offerta nel termine </w:t>
      </w:r>
      <w:r>
        <w:rPr>
          <w:rFonts w:ascii="Times New Roman" w:eastAsia="Times New Roman" w:hAnsi="Times New Roman" w:cs="Times New Roman"/>
          <w:b/>
          <w:bCs/>
          <w:color w:val="000000"/>
          <w:sz w:val="24"/>
          <w:szCs w:val="24"/>
        </w:rPr>
        <w:t xml:space="preserve">di 90 giorni dall’aggiudicazione </w:t>
      </w:r>
      <w:r>
        <w:rPr>
          <w:rFonts w:ascii="Times New Roman" w:eastAsia="Times New Roman" w:hAnsi="Times New Roman" w:cs="Times New Roman"/>
          <w:color w:val="000000"/>
          <w:sz w:val="24"/>
          <w:szCs w:val="24"/>
        </w:rPr>
        <w:t xml:space="preserve">(termine non soggetto a sospensione feriale). </w:t>
      </w:r>
    </w:p>
    <w:p w14:paraId="61169860" w14:textId="77777777" w:rsidR="00497920" w:rsidRDefault="00497920" w:rsidP="00497920">
      <w:pPr>
        <w:widowControl w:val="0"/>
        <w:pBdr>
          <w:top w:val="nil"/>
          <w:left w:val="nil"/>
          <w:bottom w:val="nil"/>
          <w:right w:val="nil"/>
          <w:between w:val="nil"/>
        </w:pBdr>
        <w:spacing w:before="5"/>
        <w:ind w:right="2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vendita è soggetta alle imposte di registro, ipotecarie e catastali nella misura prevista dalla legge; tali oneri fiscali saranno a carico dell’aggiudicatario da depositarsi nello stesso termine e con le stesse modalità. </w:t>
      </w:r>
    </w:p>
    <w:p w14:paraId="3AE08280" w14:textId="77777777" w:rsidR="00497920" w:rsidRDefault="00497920" w:rsidP="00497920">
      <w:pPr>
        <w:widowControl w:val="0"/>
        <w:pBdr>
          <w:top w:val="nil"/>
          <w:left w:val="nil"/>
          <w:bottom w:val="nil"/>
          <w:right w:val="nil"/>
          <w:between w:val="nil"/>
        </w:pBdr>
        <w:spacing w:before="282"/>
        <w:ind w:right="241"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l’aggiudicatario intenderà, sussistendone i presupposti, beneficiare delle agevolazioni per la cd.  “prima casa” o di altre agevolazioni previste dalla legge, dovrà dichiararlo all’atto dell’aggiudicazione o mediante apposita dichiarazione scritta contenente l’attestazione della sussistenza dei requisiti di legge, da comunicare nei cinque giorni successivi. </w:t>
      </w:r>
    </w:p>
    <w:p w14:paraId="51FB4A5B" w14:textId="77777777" w:rsidR="00497920" w:rsidRDefault="00497920" w:rsidP="00497920">
      <w:pPr>
        <w:widowControl w:val="0"/>
        <w:pBdr>
          <w:top w:val="nil"/>
          <w:left w:val="nil"/>
          <w:bottom w:val="nil"/>
          <w:right w:val="nil"/>
          <w:between w:val="nil"/>
        </w:pBdr>
        <w:spacing w:before="6"/>
        <w:ind w:right="243"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caso di rifiuto o inadempimento dell’obbligo di versare quanto sopra, nel termine indicato di 60 giorni, da parte dell’aggiudicatario o del terzo dallo stesso nominato, l’aggiudicazione si intenderà revocata automaticamente e la cauzione a corredo dell’offerta sarà trattenuta dalla procedura a titolo di penale per l’inadempimento, salvo il risarcimento del maggior danno. In tale caso, il Commissionario potrà, a suo insindacabile giudizio, indire un nuovo esperimento di vendita ovvero dar luogo all'aggiudicazione a favore del soggetto che abbia presentato la seconda offerta di importo più elevato rispetto a quella formulata dall'aggiudicatario decaduto. </w:t>
      </w:r>
    </w:p>
    <w:p w14:paraId="30606771" w14:textId="77777777" w:rsidR="00497920" w:rsidRDefault="00497920" w:rsidP="00497920">
      <w:pPr>
        <w:widowControl w:val="0"/>
        <w:pBdr>
          <w:top w:val="nil"/>
          <w:left w:val="nil"/>
          <w:bottom w:val="nil"/>
          <w:right w:val="nil"/>
          <w:between w:val="nil"/>
        </w:pBdr>
        <w:spacing w:before="5"/>
        <w:ind w:right="240"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L’aggiudicatario sarà immesso nel possesso dei beni a cura del Commissionario, salvo che venga esentato dall’aggiudicatario. Da quel momento saranno a carico dell’acquirente tutti gli oneri relativi ai detti beni, compresi quelli relativi alla vigilanza, alle utenze, imposte e tasse, e ogni altro onere di pertinenza. </w:t>
      </w:r>
    </w:p>
    <w:p w14:paraId="7D6D207B"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5 - Principali condizioni della vendita</w:t>
      </w:r>
    </w:p>
    <w:p w14:paraId="50FAB7C7"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indicano di seguito, a titolo non esaustivo e con riserva di eventuali modifiche e/o integrazioni, le principali condizioni contrattuali della vendita immobiliare che sarà conclusa con l’aggiudicatario: </w:t>
      </w: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la vendita avviene nello stato di fatto e di diritto in cui l’immobile si trova, come dettagliatamente descritto nella perizia redatta dall’esperto stimatore dell’esecuzione di cui in premessa, con tutte le eventuali pertinenze, accessori, ragioni ed azioni, servitù attive e passive; la vendita è a corpo e non a misura; eventuali differenze di misura non potranno dar luogo ad alcun risarcimento, indennità o riduzione di prezzo; </w:t>
      </w:r>
    </w:p>
    <w:p w14:paraId="486EB327"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eventuali iscrizioni e trascrizioni pregiudizievoli gravanti sull’immobile saranno cancellate tempestivamente dopo l’emissione del decreto di trasferimento, a cura e spese della procedura (v.  infra al punto successivo); </w:t>
      </w:r>
    </w:p>
    <w:p w14:paraId="0BE1014B"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l’esistenza di eventuali vizi, difetti, mancanza di qualità o difformità dell’immobile venduto, oneri  di qualsiasi genere (ivi compresi, ad esempio, quelli urbanistici ovvero derivanti dalla eventuale  necessità di adeguamento di impianti alle leggi vigenti, le spese condominiali dell’anno in corso e  dell’anno precedente non pagate dal debitore) per qualsiasi motivo non considerati, anche se  occulti e comunque non evidenziati nella perizia di cui sopra o emersi dopo la compravendita, non  potranno dar luogo ad alcun risarcimento anche in deroga all’art. 1494 c.c., indennità o riduzione  del prezzo, essendosi di ciò tenuto conto nell'elaborazione del prezzo a base d'asta, e in relazione  agli stessi l’acquirente rinuncia a qualsiasi azione risolutoria, risarcitoria e/o indennitaria nei  </w:t>
      </w:r>
      <w:r>
        <w:rPr>
          <w:rFonts w:ascii="Times New Roman" w:eastAsia="Times New Roman" w:hAnsi="Times New Roman" w:cs="Times New Roman"/>
          <w:color w:val="000000"/>
          <w:sz w:val="24"/>
          <w:szCs w:val="24"/>
        </w:rPr>
        <w:lastRenderedPageBreak/>
        <w:t xml:space="preserve">confronti del fallimento; </w:t>
      </w:r>
    </w:p>
    <w:p w14:paraId="1A5F0E85" w14:textId="5DC28E7C"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eventuali adeguamenti degli immobili e dei suoi impianti alle norme in materia di tutela ecologica,  ambientale, energetica nonché, in generale, alle disposizioni di legge vigenti, sono a carico  esclusivo dell’acquirente; sarà inoltre onere dell’acquirente, a propria cura e spese, la dotazione  della certificazione tecnico/amministrativa prevista dalle vigenti normative, dispensando  espressamente la procedura fallimentare della produzione ed allegazione (es. attestato prestazione  energetica, conformità impianti). Si ricorda che l’attestato di prestazione energetica, qualora mancante, sarà a totale carico dell’aggiudicatario il quale dovrà produrlo e depositarlo al Commissionario IVG entro il termine perentorio stabilito per il saldo prezzo. </w:t>
      </w:r>
    </w:p>
    <w:p w14:paraId="4BBCC8E0" w14:textId="77777777" w:rsidR="00497920" w:rsidRDefault="00497920" w:rsidP="00497920">
      <w:pPr>
        <w:widowControl w:val="0"/>
        <w:pBdr>
          <w:top w:val="nil"/>
          <w:left w:val="nil"/>
          <w:bottom w:val="nil"/>
          <w:right w:val="nil"/>
          <w:between w:val="nil"/>
        </w:pBdr>
        <w:spacing w:before="6"/>
        <w:ind w:right="243" w:firstLine="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Sono a esclusivo carico dell’acquirente tutte le spese, gli oneri fiscali ed i tributi occorrenti per perfezionare il trasferimento del bene oggetto della presente vendita (I.V.A., imposta di registrazione, costi di trascrizione e quant’altro occorrente), mente le spese per la cancellazione delle formalità pregiudizievoli esistenti saranno a carico della procedura. </w:t>
      </w:r>
    </w:p>
    <w:p w14:paraId="24731AEF" w14:textId="51FB5058" w:rsidR="00497920" w:rsidRDefault="00497920"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6 - Avvertimenti e disposizioni generali </w:t>
      </w:r>
    </w:p>
    <w:p w14:paraId="6EDD0954" w14:textId="77777777" w:rsidR="00497920" w:rsidRDefault="00497920" w:rsidP="00497920">
      <w:pPr>
        <w:widowControl w:val="0"/>
        <w:pBdr>
          <w:top w:val="nil"/>
          <w:left w:val="nil"/>
          <w:bottom w:val="nil"/>
          <w:right w:val="nil"/>
          <w:between w:val="nil"/>
        </w:pBdr>
        <w:ind w:right="241"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avvertono gli offerenti che, la cancellazione delle iscrizioni relative ai diritti di prelazione, nonché delle trascrizioni dei pignoramenti e dei sequestri conservativi e di ogni altro vincolo sull’immobile sarà ordinata dal giudice “una volta eseguita la vendita e riscosso interamente il prezzo”. Si precisa altresì che il presente avviso di vendita, corredato dal disciplinare di gara e dalle condizioni generali di vendita sarà comunicato a ciascuno dei creditori ipotecari o comunque munito di privilegio, risultante dai pubblici registri, nonché agli eventuali conduttori con contratto opponibile alla procedura, almeno 30 giorni prima della vendita. </w:t>
      </w:r>
    </w:p>
    <w:p w14:paraId="30BBD8CC" w14:textId="77777777" w:rsidR="00497920" w:rsidRDefault="00497920" w:rsidP="00497920">
      <w:pPr>
        <w:widowControl w:val="0"/>
        <w:pBdr>
          <w:top w:val="nil"/>
          <w:left w:val="nil"/>
          <w:bottom w:val="nil"/>
          <w:right w:val="nil"/>
          <w:between w:val="nil"/>
        </w:pBdr>
        <w:spacing w:before="6"/>
        <w:ind w:right="242"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Ai sensi dell’art. 46 comma 5 d.p.r. 380/2001 l'aggiudicatario, qualora l'immobile si trovi nelle condizioni previste per il rilascio del permesso di costruire in sanatoria (cfr. anche art. 40/6 capo IV della legge 28 febbraio 1985 n. 47), dovrà presentare domanda di permesso in sanatoria entro centoventi giorni dalla vendita. </w:t>
      </w:r>
    </w:p>
    <w:p w14:paraId="3178D88F" w14:textId="77777777" w:rsidR="00497920" w:rsidRDefault="00497920" w:rsidP="00497920">
      <w:pPr>
        <w:widowControl w:val="0"/>
        <w:pBdr>
          <w:top w:val="nil"/>
          <w:left w:val="nil"/>
          <w:bottom w:val="nil"/>
          <w:right w:val="nil"/>
          <w:between w:val="nil"/>
        </w:pBdr>
        <w:spacing w:before="5"/>
        <w:ind w:right="245"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Grava su ciascun partecipante alla gara di vendita l’onere di prendere preventiva, integrale ed accurata visione del presente avviso di vendita, della perizia di stima del disciplinare di gara, del modello di presentazione delle offerte, nonché delle condizioni generali di vendita. </w:t>
      </w:r>
    </w:p>
    <w:p w14:paraId="0418C69C" w14:textId="77777777" w:rsidR="00497920" w:rsidRDefault="00497920" w:rsidP="00497920">
      <w:pPr>
        <w:widowControl w:val="0"/>
        <w:pBdr>
          <w:top w:val="nil"/>
          <w:left w:val="nil"/>
          <w:bottom w:val="nil"/>
          <w:right w:val="nil"/>
          <w:between w:val="nil"/>
        </w:pBdr>
        <w:spacing w:before="6"/>
        <w:ind w:right="241"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precisa che la liquidazione del complesso immobiliare è da intendersi effettuata alla condizione “visto e piaciuto nello stato di fatto in cui si trova” e l’aggiudicatario non potrà muovere obiezione alcuna sui beni acquistati, successivamente all’aggiudicazione. Gli organi della procedura concorsuale si riservano, a proprio insindacabile giudizio e senza obbligo di motivazione, di poter </w:t>
      </w:r>
    </w:p>
    <w:p w14:paraId="45880E49" w14:textId="77777777" w:rsidR="00497920" w:rsidRDefault="00497920" w:rsidP="00497920">
      <w:pPr>
        <w:widowControl w:val="0"/>
        <w:pBdr>
          <w:top w:val="nil"/>
          <w:left w:val="nil"/>
          <w:bottom w:val="nil"/>
          <w:right w:val="nil"/>
          <w:between w:val="nil"/>
        </w:pBdr>
        <w:ind w:right="245"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sospendere ovvero interrompere definitivamente la procedura di aggiudicazione in qualsiasi momento. Quindi, nel caso in cui, per qualsiasi motivo, non sia possibile effettuare l’aggiudicazione definitiva, nessun tipo di risarcimento o spesa verrà riconosciuto agli offerenti. </w:t>
      </w:r>
    </w:p>
    <w:p w14:paraId="0F98E887" w14:textId="77777777" w:rsidR="00497920" w:rsidRDefault="00497920"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7 - Foro competente </w:t>
      </w:r>
    </w:p>
    <w:p w14:paraId="781D4CFE"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partecipazione alla vendita implica: </w:t>
      </w:r>
    </w:p>
    <w:p w14:paraId="171FB731"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lettura integrale della relazione peritale e dei relativi allegati; </w:t>
      </w:r>
    </w:p>
    <w:p w14:paraId="36C3A3A6"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l’accettazione incondizionata di quanto contenuto nel presente avviso;  </w:t>
      </w:r>
    </w:p>
    <w:p w14:paraId="11415B8E" w14:textId="126CB697" w:rsidR="00B61599" w:rsidRPr="00B61599" w:rsidRDefault="00497920" w:rsidP="00B61599">
      <w:pPr>
        <w:widowControl w:val="0"/>
        <w:pBdr>
          <w:top w:val="nil"/>
          <w:left w:val="nil"/>
          <w:bottom w:val="nil"/>
          <w:right w:val="nil"/>
          <w:between w:val="nil"/>
        </w:pBdr>
        <w:ind w:right="2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ogni e qualsiasi controversia relativa al presente avviso di vendita corredato dal disciplinare di gara e dalle condizioni generali di vendita, alla sua interpretazione, esecuzione, validità o efficacia, nonché per ogni altra controversia comunque connessa al medesimo e/o alla presente procedura competitiva sarà competente in via esclusiva il foro di Trento.</w:t>
      </w:r>
    </w:p>
    <w:p w14:paraId="1D468AC3" w14:textId="4E6B9BB5"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8 - Pubblicazione e pubblicità </w:t>
      </w:r>
    </w:p>
    <w:p w14:paraId="30348A33" w14:textId="77777777" w:rsidR="00497920" w:rsidRDefault="00497920" w:rsidP="00497920">
      <w:pPr>
        <w:widowControl w:val="0"/>
        <w:pBdr>
          <w:top w:val="nil"/>
          <w:left w:val="nil"/>
          <w:bottom w:val="nil"/>
          <w:right w:val="nil"/>
          <w:between w:val="nil"/>
        </w:pBdr>
        <w:ind w:right="2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pubblicità sarà effettuata a norma dell'art. 490 del c.p.c. secondo le modalità: - pubblicazione dell'ordinanza e dell’avviso di vendita, sul portale delle vendite pubbliche del Ministero della Giustizia; </w:t>
      </w:r>
    </w:p>
    <w:p w14:paraId="3BA5484F" w14:textId="0B5753BF" w:rsidR="00497920" w:rsidRDefault="00497920" w:rsidP="00497920">
      <w:pPr>
        <w:widowControl w:val="0"/>
        <w:pBdr>
          <w:top w:val="nil"/>
          <w:left w:val="nil"/>
          <w:bottom w:val="nil"/>
          <w:right w:val="nil"/>
          <w:between w:val="nil"/>
        </w:pBdr>
        <w:ind w:right="246"/>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sul sito </w:t>
      </w:r>
      <w:r>
        <w:rPr>
          <w:rFonts w:ascii="Times New Roman" w:eastAsia="Times New Roman" w:hAnsi="Times New Roman" w:cs="Times New Roman"/>
          <w:color w:val="0563C1"/>
          <w:sz w:val="24"/>
          <w:szCs w:val="24"/>
          <w:u w:val="single"/>
        </w:rPr>
        <w:t xml:space="preserve">www.fallcoaste.it </w:t>
      </w:r>
      <w:r>
        <w:rPr>
          <w:rFonts w:ascii="Times New Roman" w:eastAsia="Times New Roman" w:hAnsi="Times New Roman" w:cs="Times New Roman"/>
          <w:color w:val="000000"/>
          <w:sz w:val="24"/>
          <w:szCs w:val="24"/>
        </w:rPr>
        <w:t xml:space="preserve">sito abilitato alla pubblicazione degli avvisi ex art. 490 co.2 c.p.c. </w:t>
      </w:r>
    </w:p>
    <w:p w14:paraId="628B911E"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563C1"/>
          <w:sz w:val="24"/>
          <w:szCs w:val="24"/>
          <w:u w:val="single"/>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sul sito </w:t>
      </w:r>
      <w:r>
        <w:rPr>
          <w:rFonts w:ascii="Times New Roman" w:eastAsia="Times New Roman" w:hAnsi="Times New Roman" w:cs="Times New Roman"/>
          <w:color w:val="0563C1"/>
          <w:sz w:val="24"/>
          <w:szCs w:val="24"/>
          <w:u w:val="single"/>
        </w:rPr>
        <w:t xml:space="preserve">www.tribunale.trento.giustizia.it </w:t>
      </w:r>
    </w:p>
    <w:p w14:paraId="3EB2A0C6" w14:textId="1362002D" w:rsidR="00497920" w:rsidRPr="00B61599" w:rsidRDefault="00497920" w:rsidP="00B61599">
      <w:pPr>
        <w:widowControl w:val="0"/>
        <w:pBdr>
          <w:top w:val="nil"/>
          <w:left w:val="nil"/>
          <w:bottom w:val="nil"/>
          <w:right w:val="nil"/>
          <w:between w:val="nil"/>
        </w:pBdr>
        <w:spacing w:before="6"/>
        <w:jc w:val="both"/>
        <w:rPr>
          <w:rFonts w:ascii="Times New Roman" w:eastAsia="Times New Roman" w:hAnsi="Times New Roman" w:cs="Times New Roman"/>
          <w:color w:val="0563C1"/>
          <w:sz w:val="24"/>
          <w:szCs w:val="24"/>
          <w:u w:val="single"/>
        </w:rPr>
      </w:pPr>
      <w:r>
        <w:rPr>
          <w:rFonts w:ascii="Garamond" w:eastAsia="Garamond" w:hAnsi="Garamond" w:cs="Garamond"/>
          <w:color w:val="000000"/>
          <w:sz w:val="24"/>
          <w:szCs w:val="24"/>
        </w:rPr>
        <w:t>-</w:t>
      </w:r>
      <w:r w:rsidR="003F7604">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sui siti </w:t>
      </w:r>
      <w:r>
        <w:rPr>
          <w:rFonts w:ascii="Times New Roman" w:eastAsia="Times New Roman" w:hAnsi="Times New Roman" w:cs="Times New Roman"/>
          <w:color w:val="0563C1"/>
          <w:sz w:val="24"/>
          <w:szCs w:val="24"/>
          <w:u w:val="single"/>
        </w:rPr>
        <w:t>www.astalegale.net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563C1"/>
          <w:sz w:val="24"/>
          <w:szCs w:val="24"/>
          <w:u w:val="single"/>
        </w:rPr>
        <w:t>www.portaleaste.com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563C1"/>
          <w:sz w:val="24"/>
          <w:szCs w:val="24"/>
          <w:u w:val="single"/>
        </w:rPr>
        <w:t xml:space="preserve">www.asteimmobili.it </w:t>
      </w:r>
      <w:r>
        <w:rPr>
          <w:rFonts w:ascii="Times New Roman" w:eastAsia="Times New Roman" w:hAnsi="Times New Roman" w:cs="Times New Roman"/>
          <w:color w:val="000000"/>
          <w:sz w:val="24"/>
          <w:szCs w:val="24"/>
        </w:rPr>
        <w:t>e www.publicomonline.it</w:t>
      </w:r>
      <w:r>
        <w:rPr>
          <w:rFonts w:ascii="Times New Roman" w:eastAsia="Times New Roman" w:hAnsi="Times New Roman" w:cs="Times New Roman"/>
          <w:color w:val="0563C1"/>
          <w:sz w:val="24"/>
          <w:szCs w:val="24"/>
          <w:u w:val="single"/>
        </w:rPr>
        <w:t>.</w:t>
      </w:r>
      <w:r>
        <w:rPr>
          <w:rFonts w:ascii="Times New Roman" w:eastAsia="Times New Roman" w:hAnsi="Times New Roman" w:cs="Times New Roman"/>
          <w:color w:val="000000"/>
          <w:sz w:val="24"/>
          <w:szCs w:val="24"/>
        </w:rPr>
        <w:t xml:space="preserve"> </w:t>
      </w:r>
    </w:p>
    <w:p w14:paraId="20EAE417" w14:textId="3F732080"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 presente avviso di vendita non costituisce offerta al pubblico ai sensi dell’art. 1336 c.c. Il trattamento dei dati personali comunicati dagli offerenti si svolgerà in conformità alle disposizioni del Regolamento (UE) 2016/679. </w:t>
      </w:r>
    </w:p>
    <w:p w14:paraId="40842D3A" w14:textId="77777777"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p>
    <w:p w14:paraId="2928ECEA" w14:textId="77777777" w:rsidR="00497920" w:rsidRDefault="00497920" w:rsidP="00497920">
      <w:pPr>
        <w:widowControl w:val="0"/>
        <w:pBdr>
          <w:top w:val="nil"/>
          <w:left w:val="nil"/>
          <w:bottom w:val="nil"/>
          <w:right w:val="nil"/>
          <w:between w:val="nil"/>
        </w:pBdr>
        <w:spacing w:before="282" w:line="229" w:lineRule="auto"/>
        <w:ind w:right="245"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Trento, lì 09 Ottobre 2026 </w:t>
      </w:r>
    </w:p>
    <w:p w14:paraId="221590E5" w14:textId="77777777" w:rsidR="00497920" w:rsidRDefault="00497920" w:rsidP="00497920">
      <w:pPr>
        <w:widowControl w:val="0"/>
        <w:pBdr>
          <w:top w:val="nil"/>
          <w:left w:val="nil"/>
          <w:bottom w:val="nil"/>
          <w:right w:val="nil"/>
          <w:between w:val="nil"/>
        </w:pBdr>
        <w:spacing w:before="548" w:line="240" w:lineRule="auto"/>
        <w:ind w:left="2124" w:right="129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Commissionario IVG</w:t>
      </w:r>
    </w:p>
    <w:p w14:paraId="72D5C674" w14:textId="77777777"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p>
    <w:p w14:paraId="6FD0BFA0" w14:textId="77777777" w:rsidR="00497920" w:rsidRDefault="00497920" w:rsidP="00497920">
      <w:pPr>
        <w:widowControl w:val="0"/>
        <w:pBdr>
          <w:top w:val="nil"/>
          <w:left w:val="nil"/>
          <w:bottom w:val="nil"/>
          <w:right w:val="nil"/>
          <w:between w:val="nil"/>
        </w:pBdr>
        <w:spacing w:before="282"/>
        <w:ind w:right="246" w:firstLine="6"/>
        <w:jc w:val="both"/>
        <w:rPr>
          <w:rFonts w:ascii="Times New Roman" w:eastAsia="Times New Roman" w:hAnsi="Times New Roman" w:cs="Times New Roman"/>
          <w:color w:val="000000"/>
          <w:sz w:val="24"/>
          <w:szCs w:val="24"/>
        </w:rPr>
      </w:pPr>
    </w:p>
    <w:p w14:paraId="5ADFAB83" w14:textId="77777777" w:rsidR="00575CBE" w:rsidRDefault="00575CBE"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p>
    <w:p w14:paraId="01F90A1E" w14:textId="77777777" w:rsidR="00240ECC" w:rsidRDefault="00240ECC"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p>
    <w:p w14:paraId="5D7E94C1" w14:textId="77777777" w:rsidR="00240ECC" w:rsidRDefault="00240ECC" w:rsidP="00240ECC">
      <w:pPr>
        <w:widowControl w:val="0"/>
        <w:pBdr>
          <w:top w:val="nil"/>
          <w:left w:val="nil"/>
          <w:bottom w:val="nil"/>
          <w:right w:val="nil"/>
          <w:between w:val="nil"/>
        </w:pBdr>
        <w:spacing w:before="271"/>
        <w:ind w:right="300"/>
        <w:jc w:val="both"/>
        <w:rPr>
          <w:rFonts w:ascii="Times New Roman" w:eastAsia="Times New Roman" w:hAnsi="Times New Roman" w:cs="Times New Roman"/>
          <w:color w:val="000000"/>
          <w:sz w:val="24"/>
          <w:szCs w:val="24"/>
        </w:rPr>
      </w:pPr>
    </w:p>
    <w:p w14:paraId="644446E7" w14:textId="77777777" w:rsidR="002963BE" w:rsidRDefault="002963BE" w:rsidP="009E0FC6">
      <w:pPr>
        <w:autoSpaceDE w:val="0"/>
        <w:autoSpaceDN w:val="0"/>
        <w:adjustRightInd w:val="0"/>
        <w:jc w:val="both"/>
        <w:rPr>
          <w:rFonts w:ascii="Times New Roman" w:hAnsi="Times New Roman" w:cs="Times New Roman"/>
          <w:sz w:val="24"/>
          <w:szCs w:val="24"/>
        </w:rPr>
      </w:pPr>
    </w:p>
    <w:p w14:paraId="35593B36" w14:textId="77777777" w:rsidR="00E531D8" w:rsidRDefault="00E531D8" w:rsidP="009E0FC6">
      <w:pPr>
        <w:autoSpaceDE w:val="0"/>
        <w:autoSpaceDN w:val="0"/>
        <w:adjustRightInd w:val="0"/>
        <w:jc w:val="both"/>
        <w:rPr>
          <w:rFonts w:ascii="Times New Roman" w:hAnsi="Times New Roman" w:cs="Times New Roman"/>
          <w:sz w:val="24"/>
          <w:szCs w:val="24"/>
        </w:rPr>
      </w:pPr>
    </w:p>
    <w:p w14:paraId="0CC98610" w14:textId="77777777" w:rsidR="00E531D8" w:rsidRDefault="00E531D8" w:rsidP="009E0FC6">
      <w:pPr>
        <w:widowControl w:val="0"/>
        <w:pBdr>
          <w:top w:val="nil"/>
          <w:left w:val="nil"/>
          <w:bottom w:val="nil"/>
          <w:right w:val="nil"/>
          <w:between w:val="nil"/>
        </w:pBdr>
        <w:spacing w:before="192"/>
        <w:ind w:right="4027"/>
        <w:jc w:val="both"/>
        <w:rPr>
          <w:rFonts w:ascii="Times New Roman" w:eastAsia="Times New Roman" w:hAnsi="Times New Roman" w:cs="Times New Roman"/>
          <w:b/>
          <w:bCs/>
          <w:color w:val="000000"/>
          <w:sz w:val="24"/>
          <w:szCs w:val="24"/>
        </w:rPr>
      </w:pPr>
    </w:p>
    <w:p w14:paraId="081F81F6" w14:textId="77777777" w:rsidR="00B91EFE" w:rsidRDefault="00B91EFE" w:rsidP="009E0FC6">
      <w:pPr>
        <w:jc w:val="both"/>
      </w:pPr>
    </w:p>
    <w:sectPr w:rsidR="00B91EFE">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9B429" w14:textId="77777777" w:rsidR="0000469B" w:rsidRDefault="0000469B" w:rsidP="00E531D8">
      <w:pPr>
        <w:spacing w:line="240" w:lineRule="auto"/>
      </w:pPr>
      <w:r>
        <w:separator/>
      </w:r>
    </w:p>
  </w:endnote>
  <w:endnote w:type="continuationSeparator" w:id="0">
    <w:p w14:paraId="1DA3D1F7" w14:textId="77777777" w:rsidR="0000469B" w:rsidRDefault="0000469B" w:rsidP="00E531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685807"/>
      <w:docPartObj>
        <w:docPartGallery w:val="Page Numbers (Bottom of Page)"/>
        <w:docPartUnique/>
      </w:docPartObj>
    </w:sdtPr>
    <w:sdtContent>
      <w:p w14:paraId="5CC113E9" w14:textId="21A5DDE3" w:rsidR="00E531D8" w:rsidRDefault="00E531D8">
        <w:pPr>
          <w:pStyle w:val="Pidipagina"/>
          <w:jc w:val="center"/>
        </w:pPr>
        <w:r>
          <w:fldChar w:fldCharType="begin"/>
        </w:r>
        <w:r>
          <w:instrText>PAGE   \* MERGEFORMAT</w:instrText>
        </w:r>
        <w:r>
          <w:fldChar w:fldCharType="separate"/>
        </w:r>
        <w:r>
          <w:t>2</w:t>
        </w:r>
        <w:r>
          <w:fldChar w:fldCharType="end"/>
        </w:r>
      </w:p>
    </w:sdtContent>
  </w:sdt>
  <w:p w14:paraId="43720267" w14:textId="77777777" w:rsidR="00E531D8" w:rsidRDefault="00E531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06547" w14:textId="77777777" w:rsidR="0000469B" w:rsidRDefault="0000469B" w:rsidP="00E531D8">
      <w:pPr>
        <w:spacing w:line="240" w:lineRule="auto"/>
      </w:pPr>
      <w:r>
        <w:separator/>
      </w:r>
    </w:p>
  </w:footnote>
  <w:footnote w:type="continuationSeparator" w:id="0">
    <w:p w14:paraId="75299063" w14:textId="77777777" w:rsidR="0000469B" w:rsidRDefault="0000469B" w:rsidP="00E531D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B62"/>
    <w:rsid w:val="0000469B"/>
    <w:rsid w:val="00072730"/>
    <w:rsid w:val="00123428"/>
    <w:rsid w:val="001A196B"/>
    <w:rsid w:val="002040B1"/>
    <w:rsid w:val="002350FD"/>
    <w:rsid w:val="00240ECC"/>
    <w:rsid w:val="002963BE"/>
    <w:rsid w:val="002C7A2F"/>
    <w:rsid w:val="003729D0"/>
    <w:rsid w:val="003A144E"/>
    <w:rsid w:val="003D41E8"/>
    <w:rsid w:val="003F7604"/>
    <w:rsid w:val="003F7D01"/>
    <w:rsid w:val="00432711"/>
    <w:rsid w:val="004451A5"/>
    <w:rsid w:val="00497920"/>
    <w:rsid w:val="004E36D2"/>
    <w:rsid w:val="00513B62"/>
    <w:rsid w:val="00575CBE"/>
    <w:rsid w:val="005A1994"/>
    <w:rsid w:val="005B1DF5"/>
    <w:rsid w:val="005B5654"/>
    <w:rsid w:val="005F73B5"/>
    <w:rsid w:val="00634466"/>
    <w:rsid w:val="0065503E"/>
    <w:rsid w:val="006920C9"/>
    <w:rsid w:val="006E53DE"/>
    <w:rsid w:val="006F4B6C"/>
    <w:rsid w:val="00787E31"/>
    <w:rsid w:val="007943AC"/>
    <w:rsid w:val="007F0A29"/>
    <w:rsid w:val="00854771"/>
    <w:rsid w:val="00876231"/>
    <w:rsid w:val="00887A19"/>
    <w:rsid w:val="008B2FB2"/>
    <w:rsid w:val="008C67AE"/>
    <w:rsid w:val="009238D7"/>
    <w:rsid w:val="00956D73"/>
    <w:rsid w:val="009708D1"/>
    <w:rsid w:val="009E0FC6"/>
    <w:rsid w:val="00A05485"/>
    <w:rsid w:val="00A815D5"/>
    <w:rsid w:val="00AB6F1D"/>
    <w:rsid w:val="00AF2A1D"/>
    <w:rsid w:val="00AF526E"/>
    <w:rsid w:val="00B61599"/>
    <w:rsid w:val="00B62F91"/>
    <w:rsid w:val="00B74F11"/>
    <w:rsid w:val="00B91EFE"/>
    <w:rsid w:val="00BA0D8E"/>
    <w:rsid w:val="00C26C8C"/>
    <w:rsid w:val="00C7562C"/>
    <w:rsid w:val="00D15F0C"/>
    <w:rsid w:val="00D85B75"/>
    <w:rsid w:val="00DE529D"/>
    <w:rsid w:val="00E531D8"/>
    <w:rsid w:val="00EF0906"/>
    <w:rsid w:val="00F502D0"/>
    <w:rsid w:val="00FB29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0BDE6"/>
  <w15:chartTrackingRefBased/>
  <w15:docId w15:val="{04C5344A-734B-4A05-A616-8DECCC12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1EFE"/>
    <w:pPr>
      <w:spacing w:after="0" w:line="276" w:lineRule="auto"/>
    </w:pPr>
    <w:rPr>
      <w:rFonts w:ascii="Arial" w:eastAsia="Arial" w:hAnsi="Arial" w:cs="Arial"/>
      <w:kern w:val="0"/>
      <w:lang w:eastAsia="it-IT"/>
      <w14:ligatures w14:val="none"/>
    </w:rPr>
  </w:style>
  <w:style w:type="paragraph" w:styleId="Titolo1">
    <w:name w:val="heading 1"/>
    <w:basedOn w:val="Normale"/>
    <w:next w:val="Normale"/>
    <w:link w:val="Titolo1Carattere"/>
    <w:uiPriority w:val="9"/>
    <w:qFormat/>
    <w:rsid w:val="00513B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13B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13B6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13B6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13B6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13B6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13B6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13B6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13B6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dirizzodestinatario">
    <w:name w:val="envelope address"/>
    <w:basedOn w:val="Normale"/>
    <w:uiPriority w:val="99"/>
    <w:semiHidden/>
    <w:unhideWhenUsed/>
    <w:rsid w:val="005B5654"/>
    <w:pPr>
      <w:framePr w:w="7920" w:h="1980" w:hRule="exact" w:hSpace="141" w:wrap="auto" w:hAnchor="page" w:xAlign="center" w:yAlign="bottom"/>
      <w:spacing w:line="240" w:lineRule="auto"/>
      <w:ind w:left="2880"/>
    </w:pPr>
    <w:rPr>
      <w:rFonts w:eastAsiaTheme="majorEastAsia" w:cstheme="majorBidi"/>
      <w:sz w:val="24"/>
      <w:szCs w:val="24"/>
    </w:rPr>
  </w:style>
  <w:style w:type="character" w:customStyle="1" w:styleId="Titolo1Carattere">
    <w:name w:val="Titolo 1 Carattere"/>
    <w:basedOn w:val="Carpredefinitoparagrafo"/>
    <w:link w:val="Titolo1"/>
    <w:uiPriority w:val="9"/>
    <w:rsid w:val="00513B6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13B6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13B6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13B6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13B6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13B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13B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13B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13B62"/>
    <w:rPr>
      <w:rFonts w:eastAsiaTheme="majorEastAsia" w:cstheme="majorBidi"/>
      <w:color w:val="272727" w:themeColor="text1" w:themeTint="D8"/>
    </w:rPr>
  </w:style>
  <w:style w:type="paragraph" w:styleId="Titolo">
    <w:name w:val="Title"/>
    <w:basedOn w:val="Normale"/>
    <w:next w:val="Normale"/>
    <w:link w:val="TitoloCarattere"/>
    <w:uiPriority w:val="10"/>
    <w:qFormat/>
    <w:rsid w:val="00513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13B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13B6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13B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13B6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13B62"/>
    <w:rPr>
      <w:i/>
      <w:iCs/>
      <w:color w:val="404040" w:themeColor="text1" w:themeTint="BF"/>
    </w:rPr>
  </w:style>
  <w:style w:type="paragraph" w:styleId="Paragrafoelenco">
    <w:name w:val="List Paragraph"/>
    <w:basedOn w:val="Normale"/>
    <w:uiPriority w:val="34"/>
    <w:qFormat/>
    <w:rsid w:val="00513B62"/>
    <w:pPr>
      <w:ind w:left="720"/>
      <w:contextualSpacing/>
    </w:pPr>
  </w:style>
  <w:style w:type="character" w:styleId="Enfasiintensa">
    <w:name w:val="Intense Emphasis"/>
    <w:basedOn w:val="Carpredefinitoparagrafo"/>
    <w:uiPriority w:val="21"/>
    <w:qFormat/>
    <w:rsid w:val="00513B62"/>
    <w:rPr>
      <w:i/>
      <w:iCs/>
      <w:color w:val="2F5496" w:themeColor="accent1" w:themeShade="BF"/>
    </w:rPr>
  </w:style>
  <w:style w:type="paragraph" w:styleId="Citazioneintensa">
    <w:name w:val="Intense Quote"/>
    <w:basedOn w:val="Normale"/>
    <w:next w:val="Normale"/>
    <w:link w:val="CitazioneintensaCarattere"/>
    <w:uiPriority w:val="30"/>
    <w:qFormat/>
    <w:rsid w:val="00513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13B62"/>
    <w:rPr>
      <w:i/>
      <w:iCs/>
      <w:color w:val="2F5496" w:themeColor="accent1" w:themeShade="BF"/>
    </w:rPr>
  </w:style>
  <w:style w:type="character" w:styleId="Riferimentointenso">
    <w:name w:val="Intense Reference"/>
    <w:basedOn w:val="Carpredefinitoparagrafo"/>
    <w:uiPriority w:val="32"/>
    <w:qFormat/>
    <w:rsid w:val="00513B62"/>
    <w:rPr>
      <w:b/>
      <w:bCs/>
      <w:smallCaps/>
      <w:color w:val="2F5496" w:themeColor="accent1" w:themeShade="BF"/>
      <w:spacing w:val="5"/>
    </w:rPr>
  </w:style>
  <w:style w:type="character" w:styleId="Collegamentoipertestuale">
    <w:name w:val="Hyperlink"/>
    <w:basedOn w:val="Carpredefinitoparagrafo"/>
    <w:uiPriority w:val="99"/>
    <w:unhideWhenUsed/>
    <w:rsid w:val="00B91EFE"/>
    <w:rPr>
      <w:color w:val="0563C1" w:themeColor="hyperlink"/>
      <w:u w:val="single"/>
    </w:rPr>
  </w:style>
  <w:style w:type="character" w:styleId="Menzionenonrisolta">
    <w:name w:val="Unresolved Mention"/>
    <w:basedOn w:val="Carpredefinitoparagrafo"/>
    <w:uiPriority w:val="99"/>
    <w:semiHidden/>
    <w:unhideWhenUsed/>
    <w:rsid w:val="00B91EFE"/>
    <w:rPr>
      <w:color w:val="605E5C"/>
      <w:shd w:val="clear" w:color="auto" w:fill="E1DFDD"/>
    </w:rPr>
  </w:style>
  <w:style w:type="paragraph" w:styleId="Intestazione">
    <w:name w:val="header"/>
    <w:basedOn w:val="Normale"/>
    <w:link w:val="IntestazioneCarattere"/>
    <w:uiPriority w:val="99"/>
    <w:unhideWhenUsed/>
    <w:rsid w:val="00E531D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E531D8"/>
    <w:rPr>
      <w:rFonts w:ascii="Arial" w:eastAsia="Arial" w:hAnsi="Arial" w:cs="Arial"/>
      <w:kern w:val="0"/>
      <w:lang w:eastAsia="it-IT"/>
      <w14:ligatures w14:val="none"/>
    </w:rPr>
  </w:style>
  <w:style w:type="paragraph" w:styleId="Pidipagina">
    <w:name w:val="footer"/>
    <w:basedOn w:val="Normale"/>
    <w:link w:val="PidipaginaCarattere"/>
    <w:uiPriority w:val="99"/>
    <w:unhideWhenUsed/>
    <w:rsid w:val="00E531D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E531D8"/>
    <w:rPr>
      <w:rFonts w:ascii="Arial" w:eastAsia="Arial" w:hAnsi="Arial" w:cs="Arial"/>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gtrento@gmail.com"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3593</Words>
  <Characters>20486</Characters>
  <Application>Microsoft Office Word</Application>
  <DocSecurity>0</DocSecurity>
  <Lines>170</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User2</cp:lastModifiedBy>
  <cp:revision>7</cp:revision>
  <dcterms:created xsi:type="dcterms:W3CDTF">2026-10-17T11:45:00Z</dcterms:created>
  <dcterms:modified xsi:type="dcterms:W3CDTF">2026-10-19T07:51:00Z</dcterms:modified>
</cp:coreProperties>
</file>